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themeColor="text1"/>
          <w:spacing w:val="33"/>
          <w:kern w:val="0"/>
          <w:sz w:val="24"/>
          <w:szCs w:val="24"/>
          <w14:textFill>
            <w14:solidFill>
              <w14:schemeClr w14:val="tx1"/>
            </w14:solidFill>
          </w14:textFill>
        </w:rPr>
      </w:pPr>
      <w:bookmarkStart w:id="0" w:name="_GoBack"/>
      <w:bookmarkEnd w:id="0"/>
      <w:r>
        <w:fldChar w:fldCharType="begin"/>
      </w:r>
      <w:r>
        <w:instrText xml:space="preserve"> HYPERLINK "http://www.nffund.com" \t "_blank" </w:instrText>
      </w:r>
      <w:r>
        <w:fldChar w:fldCharType="separate"/>
      </w:r>
      <w:r>
        <w:rPr>
          <w:rFonts w:hint="eastAsia" w:ascii="宋体" w:hAnsi="宋体"/>
          <w:b/>
          <w:color w:val="000000" w:themeColor="text1"/>
          <w:spacing w:val="33"/>
          <w:kern w:val="0"/>
          <w:sz w:val="24"/>
          <w:szCs w:val="24"/>
          <w14:textFill>
            <w14:solidFill>
              <w14:schemeClr w14:val="tx1"/>
            </w14:solidFill>
          </w14:textFill>
        </w:rPr>
        <w:t>南方基金</w:t>
      </w:r>
      <w:r>
        <w:rPr>
          <w:rFonts w:hint="eastAsia" w:ascii="宋体" w:hAnsi="宋体"/>
          <w:b/>
          <w:color w:val="000000" w:themeColor="text1"/>
          <w:spacing w:val="33"/>
          <w:kern w:val="0"/>
          <w:sz w:val="24"/>
          <w:szCs w:val="24"/>
          <w14:textFill>
            <w14:solidFill>
              <w14:schemeClr w14:val="tx1"/>
            </w14:solidFill>
          </w14:textFill>
        </w:rPr>
        <w:fldChar w:fldCharType="end"/>
      </w:r>
      <w:r>
        <w:rPr>
          <w:rFonts w:hint="eastAsia" w:ascii="宋体" w:hAnsi="宋体"/>
          <w:b/>
          <w:color w:val="000000" w:themeColor="text1"/>
          <w:spacing w:val="33"/>
          <w:kern w:val="0"/>
          <w:sz w:val="24"/>
          <w:szCs w:val="24"/>
          <w14:textFill>
            <w14:solidFill>
              <w14:schemeClr w14:val="tx1"/>
            </w14:solidFill>
          </w14:textFill>
        </w:rPr>
        <w:t>关于旗下部分基金增加东方财富证券为销售机构</w:t>
      </w:r>
    </w:p>
    <w:p>
      <w:pPr>
        <w:spacing w:line="360" w:lineRule="auto"/>
        <w:jc w:val="center"/>
        <w:rPr>
          <w:rFonts w:ascii="宋体" w:hAnsi="宋体"/>
          <w:b/>
          <w:color w:val="000000" w:themeColor="text1"/>
          <w:spacing w:val="33"/>
          <w:kern w:val="0"/>
          <w:sz w:val="24"/>
          <w:szCs w:val="24"/>
          <w14:textFill>
            <w14:solidFill>
              <w14:schemeClr w14:val="tx1"/>
            </w14:solidFill>
          </w14:textFill>
        </w:rPr>
      </w:pPr>
      <w:r>
        <w:rPr>
          <w:rFonts w:ascii="宋体" w:hAnsi="宋体"/>
          <w:b/>
          <w:color w:val="000000" w:themeColor="text1"/>
          <w:spacing w:val="33"/>
          <w:kern w:val="0"/>
          <w:sz w:val="24"/>
          <w:szCs w:val="24"/>
          <w14:textFill>
            <w14:solidFill>
              <w14:schemeClr w14:val="tx1"/>
            </w14:solidFill>
          </w14:textFill>
        </w:rPr>
        <w:t>及开通</w:t>
      </w:r>
      <w:r>
        <w:rPr>
          <w:rFonts w:hint="eastAsia" w:ascii="宋体" w:hAnsi="宋体"/>
          <w:b/>
          <w:color w:val="000000" w:themeColor="text1"/>
          <w:spacing w:val="33"/>
          <w:kern w:val="0"/>
          <w:sz w:val="24"/>
          <w:szCs w:val="24"/>
          <w14:textFill>
            <w14:solidFill>
              <w14:schemeClr w14:val="tx1"/>
            </w14:solidFill>
          </w14:textFill>
        </w:rPr>
        <w:t>相关</w:t>
      </w:r>
      <w:r>
        <w:rPr>
          <w:rFonts w:ascii="宋体" w:hAnsi="宋体"/>
          <w:b/>
          <w:color w:val="000000" w:themeColor="text1"/>
          <w:spacing w:val="33"/>
          <w:kern w:val="0"/>
          <w:sz w:val="24"/>
          <w:szCs w:val="24"/>
          <w14:textFill>
            <w14:solidFill>
              <w14:schemeClr w14:val="tx1"/>
            </w14:solidFill>
          </w14:textFill>
        </w:rPr>
        <w:t>业务</w:t>
      </w:r>
      <w:r>
        <w:rPr>
          <w:rFonts w:hint="eastAsia"/>
          <w:b/>
          <w:color w:val="000000" w:themeColor="text1"/>
          <w:spacing w:val="33"/>
          <w:kern w:val="0"/>
          <w:sz w:val="24"/>
          <w:szCs w:val="24"/>
          <w14:textFill>
            <w14:solidFill>
              <w14:schemeClr w14:val="tx1"/>
            </w14:solidFill>
          </w14:textFill>
        </w:rPr>
        <w:t>的</w:t>
      </w:r>
      <w:r>
        <w:rPr>
          <w:rFonts w:hint="eastAsia" w:ascii="宋体" w:hAnsi="宋体"/>
          <w:b/>
          <w:color w:val="000000" w:themeColor="text1"/>
          <w:spacing w:val="33"/>
          <w:kern w:val="0"/>
          <w:sz w:val="24"/>
          <w:szCs w:val="24"/>
          <w14:textFill>
            <w14:solidFill>
              <w14:schemeClr w14:val="tx1"/>
            </w14:solidFill>
          </w14:textFill>
        </w:rPr>
        <w:t>公告</w:t>
      </w:r>
    </w:p>
    <w:p>
      <w:pPr>
        <w:spacing w:line="360" w:lineRule="auto"/>
        <w:ind w:firstLine="525" w:firstLineChars="250"/>
        <w:rPr>
          <w:rFonts w:ascii="宋体" w:hAnsi="宋体"/>
          <w:color w:val="000000" w:themeColor="text1"/>
          <w:szCs w:val="21"/>
          <w14:textFill>
            <w14:solidFill>
              <w14:schemeClr w14:val="tx1"/>
            </w14:solidFill>
          </w14:textFill>
        </w:rPr>
      </w:pPr>
    </w:p>
    <w:p>
      <w:pPr>
        <w:widowControl/>
        <w:spacing w:line="360" w:lineRule="auto"/>
        <w:ind w:firstLine="504" w:firstLineChars="24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w:t>
      </w:r>
      <w:r>
        <w:fldChar w:fldCharType="begin"/>
      </w:r>
      <w:r>
        <w:instrText xml:space="preserve"> HYPERLINK "http://www.nffund.com" \t "_blank" </w:instrText>
      </w:r>
      <w:r>
        <w:fldChar w:fldCharType="separate"/>
      </w:r>
      <w:r>
        <w:fldChar w:fldCharType="end"/>
      </w:r>
      <w:r>
        <w:rPr>
          <w:rFonts w:hint="eastAsia" w:ascii="宋体" w:hAnsi="宋体"/>
          <w:color w:val="000000" w:themeColor="text1"/>
          <w:szCs w:val="21"/>
          <w14:textFill>
            <w14:solidFill>
              <w14:schemeClr w14:val="tx1"/>
            </w14:solidFill>
          </w14:textFill>
        </w:rPr>
        <w:t>南方基金管理股份有限公司（简称“本公司”）与西藏东方财富证券股份有限公司（简称“东方财富证券”）签署的销售协议，东方财富证券将自</w:t>
      </w:r>
      <w:r>
        <w:rPr>
          <w:rFonts w:ascii="宋体" w:hAnsi="宋体"/>
          <w:color w:val="000000" w:themeColor="text1"/>
          <w:szCs w:val="21"/>
          <w14:textFill>
            <w14:solidFill>
              <w14:schemeClr w14:val="tx1"/>
            </w14:solidFill>
          </w14:textFill>
        </w:rPr>
        <w:t>2019年08月23日</w:t>
      </w:r>
      <w:r>
        <w:rPr>
          <w:rFonts w:hint="eastAsia" w:ascii="宋体" w:hAnsi="宋体"/>
          <w:color w:val="000000" w:themeColor="text1"/>
          <w:szCs w:val="21"/>
          <w14:textFill>
            <w14:solidFill>
              <w14:schemeClr w14:val="tx1"/>
            </w14:solidFill>
          </w14:textFill>
        </w:rPr>
        <w:t>起销售本公司旗下部分基金。</w:t>
      </w:r>
      <w:r>
        <w:rPr>
          <w:rFonts w:ascii="宋体" w:hAnsi="宋体"/>
          <w:color w:val="000000" w:themeColor="text1"/>
          <w:szCs w:val="21"/>
          <w14:textFill>
            <w14:solidFill>
              <w14:schemeClr w14:val="tx1"/>
            </w14:solidFill>
          </w14:textFill>
        </w:rPr>
        <w:t>现将有关事项公告如下</w:t>
      </w:r>
      <w:r>
        <w:rPr>
          <w:rFonts w:hint="eastAsia" w:ascii="宋体" w:hAnsi="宋体"/>
          <w:color w:val="000000" w:themeColor="text1"/>
          <w:szCs w:val="21"/>
          <w14:textFill>
            <w14:solidFill>
              <w14:schemeClr w14:val="tx1"/>
            </w14:solidFill>
          </w14:textFill>
        </w:rPr>
        <w:t>:</w:t>
      </w:r>
    </w:p>
    <w:p>
      <w:pPr>
        <w:numPr>
          <w:ilvl w:val="0"/>
          <w:numId w:val="1"/>
        </w:num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适用基金及业务范围</w:t>
      </w:r>
    </w:p>
    <w:tbl>
      <w:tblPr>
        <w:tblStyle w:val="16"/>
        <w:tblW w:w="8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4841"/>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编号</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基金代码</w:t>
            </w:r>
          </w:p>
        </w:tc>
        <w:tc>
          <w:tcPr>
            <w:tcW w:w="4841"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基金名称</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转换业务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002656</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南方创业板交易型开放式指数证券投资基金联接基金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003473</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南方天天利货币市场基金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003474</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南方天天利货币市场基金</w:t>
            </w:r>
            <w:r>
              <w:rPr>
                <w:rFonts w:ascii="宋体" w:hAnsi="宋体"/>
                <w:color w:val="000000" w:themeColor="text1"/>
                <w:szCs w:val="21"/>
                <w14:textFill>
                  <w14:solidFill>
                    <w14:schemeClr w14:val="tx1"/>
                  </w14:solidFill>
                </w14:textFill>
              </w:rPr>
              <w:t>B类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004069</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南方中证全指证券公司交易型开放式指数证券投资基金联接基金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004070</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南方中证全指证券公司交易型开放式指数证券投资基金联接基金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004343</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南方创业板交易型开放式指数证券投资基金联接基金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004348</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w:t>
            </w:r>
            <w:r>
              <w:rPr>
                <w:rFonts w:ascii="宋体" w:hAnsi="宋体"/>
                <w:color w:val="000000" w:themeColor="text1"/>
                <w:szCs w:val="21"/>
                <w14:textFill>
                  <w14:solidFill>
                    <w14:schemeClr w14:val="tx1"/>
                  </w14:solidFill>
                </w14:textFill>
              </w:rPr>
              <w:t>500交易型开放式指数证券投资基金联接基金（LOF）C类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004357</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南方智慧精选灵活配置混合型证券投资基金</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004432</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南方中证申万有色金属交易型开放式指数证券投资基金发起式联接基金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004433</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南方中证申万有色金属交易型开放式指数证券投资基金发起式联接基金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004597</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南方中证银行交易型开放式指数证券投资基金发起式联接基金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004598</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南方中证银行交易型开放式指数证券投资基金发起式联接基金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004642</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南方中证全指房地产交易型开放式指数证券投资基金发起式联接基金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004643</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南方中证全指房地产交易型开放式指数证券投资基金发起式联接基金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005206</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南方优选成长混合型证券投资基金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005554</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南方恒生中国企业交易型开放式指数证券投资基金联接基金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005555</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南方恒生中国企业交易型开放式指数证券投资基金联接基金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005659</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南方恒生交易型开放式指数证券投资基金联接基金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005788</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MSCI中国A股国际通交易型开放式指数证券投资基金发起式联接基金A类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005789</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MSCI中国A股国际通交易型开放式指数证券投资基金发起式联接基金C类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006517</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南方吉元短债债券型证券投资基金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006518</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南方吉元短债债券型证券投资基金</w:t>
            </w:r>
            <w:r>
              <w:rPr>
                <w:rFonts w:ascii="宋体" w:hAnsi="宋体"/>
                <w:color w:val="000000" w:themeColor="text1"/>
                <w:szCs w:val="21"/>
                <w14:textFill>
                  <w14:solidFill>
                    <w14:schemeClr w14:val="tx1"/>
                  </w14:solidFill>
                </w14:textFill>
              </w:rPr>
              <w:t>C类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202023</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南方优选成长混合型证券投资基金</w:t>
            </w:r>
            <w:r>
              <w:rPr>
                <w:rFonts w:ascii="宋体" w:hAnsi="宋体"/>
                <w:color w:val="000000" w:themeColor="text1"/>
                <w:szCs w:val="21"/>
                <w14:textFill>
                  <w14:solidFill>
                    <w14:schemeClr w14:val="tx1"/>
                  </w14:solidFill>
                </w14:textFill>
              </w:rPr>
              <w:t>A类（前端）</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160119</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南方中证</w:t>
            </w:r>
            <w:r>
              <w:rPr>
                <w:rFonts w:ascii="宋体" w:hAnsi="宋体"/>
                <w:color w:val="000000" w:themeColor="text1"/>
                <w:szCs w:val="21"/>
                <w14:textFill>
                  <w14:solidFill>
                    <w14:schemeClr w14:val="tx1"/>
                  </w14:solidFill>
                </w14:textFill>
              </w:rPr>
              <w:t>500交易型开放式指数证券投资基金联接基金（LOF）A类（前端）</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p>
        </w:tc>
        <w:tc>
          <w:tcPr>
            <w:tcW w:w="1276"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501302</w:t>
            </w:r>
          </w:p>
        </w:tc>
        <w:tc>
          <w:tcPr>
            <w:tcW w:w="4841" w:type="dxa"/>
            <w:shd w:val="clear" w:color="auto" w:fill="auto"/>
            <w:noWrap/>
            <w:vAlign w:val="center"/>
          </w:tcPr>
          <w:p>
            <w:pPr>
              <w:widowControl/>
              <w:adjustRightInd w:val="0"/>
              <w:snapToGrid w:val="0"/>
              <w:spacing w:before="156" w:beforeLines="50" w:after="156" w:afterLines="50" w:line="24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南方恒生交易型开放式指数证券投资基金联接基金</w:t>
            </w:r>
            <w:r>
              <w:rPr>
                <w:rFonts w:ascii="宋体" w:hAnsi="宋体"/>
                <w:color w:val="000000" w:themeColor="text1"/>
                <w:szCs w:val="21"/>
                <w14:textFill>
                  <w14:solidFill>
                    <w14:schemeClr w14:val="tx1"/>
                  </w14:solidFill>
                </w14:textFill>
              </w:rPr>
              <w:t>A类</w:t>
            </w:r>
          </w:p>
        </w:tc>
        <w:tc>
          <w:tcPr>
            <w:tcW w:w="1112" w:type="dxa"/>
            <w:shd w:val="clear" w:color="auto" w:fill="auto"/>
            <w:noWrap/>
            <w:vAlign w:val="center"/>
          </w:tcPr>
          <w:p>
            <w:pPr>
              <w:widowControl/>
              <w:adjustRightInd w:val="0"/>
              <w:snapToGrid w:val="0"/>
              <w:spacing w:before="156" w:beforeLines="50" w:after="156" w:afterLines="50" w:line="2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不开通</w:t>
            </w:r>
          </w:p>
        </w:tc>
      </w:tr>
    </w:tbl>
    <w:p>
      <w:pPr>
        <w:widowControl/>
        <w:spacing w:line="405" w:lineRule="atLeast"/>
        <w:ind w:firstLine="40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从</w:t>
      </w:r>
      <w:r>
        <w:rPr>
          <w:rFonts w:ascii="宋体" w:hAnsi="宋体"/>
          <w:color w:val="000000" w:themeColor="text1"/>
          <w:szCs w:val="21"/>
          <w14:textFill>
            <w14:solidFill>
              <w14:schemeClr w14:val="tx1"/>
            </w14:solidFill>
          </w14:textFill>
        </w:rPr>
        <w:t>2019年08月23日</w:t>
      </w:r>
      <w:r>
        <w:rPr>
          <w:rFonts w:hint="eastAsia" w:ascii="宋体" w:hAnsi="宋体"/>
          <w:color w:val="000000" w:themeColor="text1"/>
          <w:szCs w:val="21"/>
          <w14:textFill>
            <w14:solidFill>
              <w14:schemeClr w14:val="tx1"/>
            </w14:solidFill>
          </w14:textFill>
        </w:rPr>
        <w:t>起，投资人可通过东方财富证券办理</w:t>
      </w:r>
      <w:r>
        <w:rPr>
          <w:rFonts w:hint="eastAsia"/>
          <w:color w:val="000000" w:themeColor="text1"/>
          <w:szCs w:val="21"/>
          <w14:textFill>
            <w14:solidFill>
              <w14:schemeClr w14:val="tx1"/>
            </w14:solidFill>
          </w14:textFill>
        </w:rPr>
        <w:t>上述列表中对应</w:t>
      </w:r>
      <w:r>
        <w:rPr>
          <w:rFonts w:hint="eastAsia" w:ascii="宋体" w:hAnsi="宋体"/>
          <w:color w:val="000000" w:themeColor="text1"/>
          <w:szCs w:val="21"/>
          <w14:textFill>
            <w14:solidFill>
              <w14:schemeClr w14:val="tx1"/>
            </w14:solidFill>
          </w14:textFill>
        </w:rPr>
        <w:t>基金的开户、申购、赎回、转换</w:t>
      </w:r>
      <w:r>
        <w:rPr>
          <w:rFonts w:ascii="宋体" w:hAnsi="宋体"/>
          <w:color w:val="000000" w:themeColor="text1"/>
          <w:szCs w:val="21"/>
          <w14:textFill>
            <w14:solidFill>
              <w14:schemeClr w14:val="tx1"/>
            </w14:solidFill>
          </w14:textFill>
        </w:rPr>
        <w:t>等业务</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上述列表中的基金可参与费率优惠活动，具体优惠规则以东方财富证券的安排为准。</w:t>
      </w:r>
    </w:p>
    <w:p>
      <w:pPr>
        <w:pStyle w:val="12"/>
        <w:numPr>
          <w:ilvl w:val="0"/>
          <w:numId w:val="1"/>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重要提示</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1、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2、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2007年8月30日发布的《南方基金管理有限公司关于旗下基金在部分代销机构开展转换业务的公告》和2008年3月11日发布的《南方基金管理有限公司关于调整旗下基金转换业务规则的公告》。</w:t>
      </w:r>
    </w:p>
    <w:p>
      <w:pPr>
        <w:pStyle w:val="12"/>
        <w:numPr>
          <w:ilvl w:val="0"/>
          <w:numId w:val="1"/>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投资人可通过以下途径了解或咨询相关情况：</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东方财富证券客服电话：95357</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东方财富证券网址：http://www.18.cn</w:t>
      </w:r>
    </w:p>
    <w:p>
      <w:pPr>
        <w:spacing w:line="360" w:lineRule="auto"/>
        <w:ind w:firstLine="420" w:firstLineChars="200"/>
        <w:rPr>
          <w:color w:val="000000" w:themeColor="text1"/>
          <w:szCs w:val="21"/>
          <w14:textFill>
            <w14:solidFill>
              <w14:schemeClr w14:val="tx1"/>
            </w14:solidFill>
          </w14:textFill>
        </w:rPr>
      </w:pPr>
      <w:r>
        <w:fldChar w:fldCharType="begin"/>
      </w:r>
      <w:r>
        <w:instrText xml:space="preserve"> HYPERLINK "http://www.nffund.com" \t "_blank" </w:instrText>
      </w:r>
      <w:r>
        <w:fldChar w:fldCharType="separate"/>
      </w:r>
      <w:r>
        <w:rPr>
          <w:rFonts w:hint="eastAsia"/>
          <w:color w:val="000000" w:themeColor="text1"/>
          <w:szCs w:val="21"/>
          <w14:textFill>
            <w14:solidFill>
              <w14:schemeClr w14:val="tx1"/>
            </w14:solidFill>
          </w14:textFill>
        </w:rPr>
        <w:t>南方基金</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客服电话：</w:t>
      </w:r>
      <w:r>
        <w:rPr>
          <w:color w:val="000000" w:themeColor="text1"/>
          <w:szCs w:val="21"/>
          <w14:textFill>
            <w14:solidFill>
              <w14:schemeClr w14:val="tx1"/>
            </w14:solidFill>
          </w14:textFill>
        </w:rPr>
        <w:t>400-889-8899</w:t>
      </w:r>
    </w:p>
    <w:p>
      <w:pPr>
        <w:spacing w:line="360" w:lineRule="auto"/>
        <w:ind w:firstLine="420" w:firstLineChars="200"/>
        <w:rPr>
          <w:color w:val="000000" w:themeColor="text1"/>
          <w:szCs w:val="21"/>
          <w14:textFill>
            <w14:solidFill>
              <w14:schemeClr w14:val="tx1"/>
            </w14:solidFill>
          </w14:textFill>
        </w:rPr>
      </w:pPr>
      <w:r>
        <w:fldChar w:fldCharType="begin"/>
      </w:r>
      <w:r>
        <w:instrText xml:space="preserve"> HYPERLINK "http://www.nffund.com" \t "_blank" </w:instrText>
      </w:r>
      <w:r>
        <w:fldChar w:fldCharType="separate"/>
      </w:r>
      <w:r>
        <w:rPr>
          <w:rFonts w:hint="eastAsia"/>
          <w:color w:val="000000" w:themeColor="text1"/>
          <w:szCs w:val="21"/>
          <w14:textFill>
            <w14:solidFill>
              <w14:schemeClr w14:val="tx1"/>
            </w14:solidFill>
          </w14:textFill>
        </w:rPr>
        <w:t>南方基金</w:t>
      </w:r>
      <w:r>
        <w:rPr>
          <w:rFonts w:hint="eastAsia"/>
          <w:color w:val="000000" w:themeColor="text1"/>
          <w:szCs w:val="21"/>
          <w14:textFill>
            <w14:solidFill>
              <w14:schemeClr w14:val="tx1"/>
            </w14:solidFill>
          </w14:textFill>
        </w:rPr>
        <w:fldChar w:fldCharType="end"/>
      </w:r>
      <w:r>
        <w:rPr>
          <w:rFonts w:hint="eastAsia"/>
          <w:color w:val="000000" w:themeColor="text1"/>
          <w:szCs w:val="21"/>
          <w14:textFill>
            <w14:solidFill>
              <w14:schemeClr w14:val="tx1"/>
            </w14:solidFill>
          </w14:textFill>
        </w:rPr>
        <w:t>网址：</w:t>
      </w:r>
      <w:r>
        <w:fldChar w:fldCharType="begin"/>
      </w:r>
      <w:r>
        <w:instrText xml:space="preserve"> HYPERLINK "http://www.nffund.com" </w:instrText>
      </w:r>
      <w:r>
        <w:fldChar w:fldCharType="separate"/>
      </w:r>
      <w:r>
        <w:rPr>
          <w:color w:val="000000" w:themeColor="text1"/>
          <w:szCs w:val="21"/>
          <w14:textFill>
            <w14:solidFill>
              <w14:schemeClr w14:val="tx1"/>
            </w14:solidFill>
          </w14:textFill>
        </w:rPr>
        <w:t>www.nffund.com</w:t>
      </w:r>
      <w:r>
        <w:rPr>
          <w:color w:val="000000" w:themeColor="text1"/>
          <w:szCs w:val="21"/>
          <w14:textFill>
            <w14:solidFill>
              <w14:schemeClr w14:val="tx1"/>
            </w14:solidFill>
          </w14:textFill>
        </w:rPr>
        <w:fldChar w:fldCharType="end"/>
      </w:r>
    </w:p>
    <w:p>
      <w:pPr>
        <w:pStyle w:val="12"/>
        <w:numPr>
          <w:ilvl w:val="0"/>
          <w:numId w:val="1"/>
        </w:numPr>
        <w:spacing w:line="360" w:lineRule="auto"/>
        <w:ind w:firstLineChars="0"/>
        <w:rPr>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风险提示：</w:t>
      </w:r>
    </w:p>
    <w:p>
      <w:pPr>
        <w:widowControl/>
        <w:spacing w:line="360" w:lineRule="auto"/>
        <w:ind w:firstLine="405"/>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1、投资人应当认真阅读《基金合同》、《招募说明书》等基金法律文件，了解基金的风险收益特征，并根据自身的投资目的、投资期限、投资经验、资产状况等判断基金是否和投资人的风险承受能力相适应。</w:t>
      </w:r>
    </w:p>
    <w:p>
      <w:pPr>
        <w:widowControl/>
        <w:spacing w:line="360" w:lineRule="auto"/>
        <w:jc w:val="left"/>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2、投资人购买货币市场基金并不等于将资金作为存款存放在银行或存款类金融机构，基金管理人不保证基金一定盈利，也不保证最低收益。 </w:t>
      </w:r>
    </w:p>
    <w:p>
      <w:pPr>
        <w:spacing w:line="360" w:lineRule="auto"/>
        <w:rPr>
          <w:rFonts w:ascii="宋体" w:hAnsi="宋体"/>
          <w:color w:val="000000" w:themeColor="text1"/>
          <w:szCs w:val="21"/>
          <w14:textFill>
            <w14:solidFill>
              <w14:schemeClr w14:val="tx1"/>
            </w14:solidFill>
          </w14:textFill>
        </w:rPr>
      </w:pP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特此公告</w:t>
      </w:r>
    </w:p>
    <w:p>
      <w:pPr>
        <w:spacing w:line="360" w:lineRule="auto"/>
        <w:ind w:firstLine="420" w:firstLineChars="20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p>
    <w:p>
      <w:pPr>
        <w:spacing w:line="360" w:lineRule="auto"/>
        <w:ind w:firstLine="420" w:firstLineChars="200"/>
        <w:jc w:val="right"/>
        <w:rPr>
          <w:rFonts w:ascii="宋体" w:hAnsi="宋体"/>
          <w:color w:val="000000" w:themeColor="text1"/>
          <w:szCs w:val="21"/>
          <w14:textFill>
            <w14:solidFill>
              <w14:schemeClr w14:val="tx1"/>
            </w14:solidFill>
          </w14:textFill>
        </w:rPr>
      </w:pPr>
    </w:p>
    <w:p>
      <w:pPr>
        <w:spacing w:line="360" w:lineRule="auto"/>
        <w:ind w:firstLine="420"/>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南方基金管理股份有限公司</w:t>
      </w:r>
    </w:p>
    <w:p>
      <w:pPr>
        <w:spacing w:line="360" w:lineRule="auto"/>
        <w:ind w:firstLine="420"/>
        <w:jc w:val="righ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2019年08月23日</w:t>
      </w:r>
    </w:p>
    <w:p>
      <w:pPr>
        <w:rPr>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56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CCD"/>
    <w:multiLevelType w:val="multilevel"/>
    <w:tmpl w:val="0C0A1CCD"/>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B5"/>
    <w:rsid w:val="001936D3"/>
    <w:rsid w:val="00193F8F"/>
    <w:rsid w:val="00194760"/>
    <w:rsid w:val="00195B27"/>
    <w:rsid w:val="00195CD1"/>
    <w:rsid w:val="00195E48"/>
    <w:rsid w:val="00195F3D"/>
    <w:rsid w:val="001969E2"/>
    <w:rsid w:val="00197AC7"/>
    <w:rsid w:val="00197BC4"/>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46BD"/>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60D6"/>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2EF6"/>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2C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E3E"/>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B77DD"/>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512"/>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3BC"/>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26D2"/>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37"/>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77A6B"/>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1FEE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unhideWhenUsed/>
    <w:uiPriority w:val="99"/>
    <w:rPr>
      <w:color w:val="0000FF"/>
      <w:u w:val="single"/>
    </w:rPr>
  </w:style>
  <w:style w:type="character" w:styleId="11">
    <w:name w:val="annotation reference"/>
    <w:basedOn w:val="9"/>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批注框文本 字符"/>
    <w:link w:val="3"/>
    <w:semiHidden/>
    <w:uiPriority w:val="99"/>
    <w:rPr>
      <w:rFonts w:ascii="Times New Roman" w:hAnsi="Times New Roman" w:eastAsia="宋体" w:cs="Times New Roman"/>
      <w:sz w:val="18"/>
      <w:szCs w:val="18"/>
    </w:rPr>
  </w:style>
  <w:style w:type="character" w:customStyle="1" w:styleId="14">
    <w:name w:val="页眉 字符"/>
    <w:link w:val="5"/>
    <w:uiPriority w:val="99"/>
    <w:rPr>
      <w:rFonts w:ascii="Times New Roman" w:hAnsi="Times New Roman" w:eastAsia="宋体" w:cs="Times New Roman"/>
      <w:sz w:val="18"/>
      <w:szCs w:val="18"/>
    </w:rPr>
  </w:style>
  <w:style w:type="character" w:customStyle="1" w:styleId="15">
    <w:name w:val="页脚 字符"/>
    <w:link w:val="4"/>
    <w:uiPriority w:val="99"/>
    <w:rPr>
      <w:rFonts w:ascii="Times New Roman" w:hAnsi="Times New Roman" w:eastAsia="宋体" w:cs="Times New Roman"/>
      <w:sz w:val="18"/>
      <w:szCs w:val="18"/>
    </w:rPr>
  </w:style>
  <w:style w:type="table" w:customStyle="1" w:styleId="16">
    <w:name w:val="dxjg_table"/>
    <w:basedOn w:val="7"/>
    <w:uiPriority w:val="99"/>
    <w:pPr>
      <w:adjustRightInd w:val="0"/>
      <w:snapToGrid w:val="0"/>
      <w:jc w:val="center"/>
    </w:pPr>
    <w:rPr>
      <w:color w:val="C00000"/>
      <w:sz w:val="18"/>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rPr>
      <w:jc w:val="center"/>
    </w:trPr>
    <w:tcPr>
      <w:shd w:val="clear" w:color="auto" w:fill="auto"/>
      <w:noWrap/>
      <w:vAlign w:val="center"/>
    </w:tcPr>
  </w:style>
  <w:style w:type="character" w:customStyle="1" w:styleId="17">
    <w:name w:val="批注文字 字符"/>
    <w:basedOn w:val="9"/>
    <w:link w:val="2"/>
    <w:semiHidden/>
    <w:qFormat/>
    <w:uiPriority w:val="99"/>
    <w:rPr>
      <w:rFonts w:ascii="Times New Roman" w:hAnsi="Times New Roman"/>
      <w:kern w:val="2"/>
      <w:sz w:val="21"/>
    </w:rPr>
  </w:style>
  <w:style w:type="character" w:customStyle="1" w:styleId="18">
    <w:name w:val="批注主题 字符"/>
    <w:basedOn w:val="17"/>
    <w:link w:val="6"/>
    <w:semiHidden/>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4B11E-25CA-4666-9B98-679DA97B7132}">
  <ds:schemaRefs/>
</ds:datastoreItem>
</file>

<file path=docProps/app.xml><?xml version="1.0" encoding="utf-8"?>
<Properties xmlns="http://schemas.openxmlformats.org/officeDocument/2006/extended-properties" xmlns:vt="http://schemas.openxmlformats.org/officeDocument/2006/docPropsVTypes">
  <Template>Normal</Template>
  <Pages>3</Pages>
  <Words>331</Words>
  <Characters>1890</Characters>
  <Lines>15</Lines>
  <Paragraphs>4</Paragraphs>
  <TotalTime>37</TotalTime>
  <ScaleCrop>false</ScaleCrop>
  <LinksUpToDate>false</LinksUpToDate>
  <CharactersWithSpaces>2217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2019-07-26T03:10:00Z</dcterms:created>
  <dc:creator>sqlcluster</dc:creator>
  <cp:lastModifiedBy>东方财富证券</cp:lastModifiedBy>
  <dcterms:modified xsi:type="dcterms:W3CDTF">2019-08-16T07:27:01Z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