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rPr>
        <w:t>汇添富基金管理股份有限公司关于旗下部分基金增加</w:t>
      </w:r>
    </w:p>
    <w:p>
      <w:pPr>
        <w:autoSpaceDE w:val="0"/>
        <w:autoSpaceDN w:val="0"/>
        <w:adjustRightInd w:val="0"/>
        <w:spacing w:line="360" w:lineRule="auto"/>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rPr>
        <w:t>东方财富证券为代销机构的公告</w:t>
      </w:r>
    </w:p>
    <w:p>
      <w:pPr>
        <w:autoSpaceDE w:val="0"/>
        <w:autoSpaceDN w:val="0"/>
        <w:adjustRightInd w:val="0"/>
        <w:spacing w:line="360" w:lineRule="auto"/>
        <w:jc w:val="left"/>
        <w:rPr>
          <w:rFonts w:cs="宋体" w:asciiTheme="minorEastAsia" w:hAnsiTheme="minorEastAsia"/>
          <w:color w:val="000000"/>
          <w:kern w:val="0"/>
          <w:sz w:val="30"/>
          <w:szCs w:val="30"/>
        </w:rPr>
      </w:pPr>
    </w:p>
    <w:p>
      <w:pPr>
        <w:autoSpaceDE w:val="0"/>
        <w:autoSpaceDN w:val="0"/>
        <w:adjustRightInd w:val="0"/>
        <w:spacing w:line="360" w:lineRule="auto"/>
        <w:ind w:firstLine="420" w:firstLineChars="200"/>
        <w:rPr>
          <w:rFonts w:cs="宋体" w:asciiTheme="minorEastAsia" w:hAnsiTheme="minorEastAsia"/>
          <w:color w:val="000000"/>
          <w:kern w:val="0"/>
          <w:szCs w:val="21"/>
        </w:rPr>
      </w:pPr>
      <w:r>
        <w:rPr>
          <w:rFonts w:hint="eastAsia" w:cs="宋体" w:asciiTheme="minorEastAsia" w:hAnsiTheme="minorEastAsia"/>
          <w:color w:val="000000"/>
          <w:kern w:val="0"/>
          <w:szCs w:val="21"/>
        </w:rPr>
        <w:t>根据汇添富基金管理股份有限公司（以下简称“本公司”）与西藏东方财富证券股份有限公司（以下简称“东方财富证券”，原西藏同信证券有限责任公司）签署的销售协议，自201</w:t>
      </w:r>
      <w:r>
        <w:rPr>
          <w:rFonts w:cs="宋体" w:asciiTheme="minorEastAsia" w:hAnsiTheme="minorEastAsia"/>
          <w:color w:val="000000"/>
          <w:kern w:val="0"/>
          <w:szCs w:val="21"/>
        </w:rPr>
        <w:t>9</w:t>
      </w:r>
      <w:r>
        <w:rPr>
          <w:rFonts w:hint="eastAsia" w:cs="宋体" w:asciiTheme="minorEastAsia" w:hAnsiTheme="minorEastAsia"/>
          <w:color w:val="000000"/>
          <w:kern w:val="0"/>
          <w:szCs w:val="21"/>
        </w:rPr>
        <w:t>年</w:t>
      </w:r>
      <w:r>
        <w:rPr>
          <w:rFonts w:cs="宋体" w:asciiTheme="minorEastAsia" w:hAnsiTheme="minorEastAsia"/>
          <w:color w:val="000000"/>
          <w:kern w:val="0"/>
          <w:szCs w:val="21"/>
        </w:rPr>
        <w:t>8</w:t>
      </w:r>
      <w:r>
        <w:rPr>
          <w:rFonts w:hint="eastAsia" w:cs="宋体" w:asciiTheme="minorEastAsia" w:hAnsiTheme="minorEastAsia"/>
          <w:color w:val="000000"/>
          <w:kern w:val="0"/>
          <w:szCs w:val="21"/>
        </w:rPr>
        <w:t>月</w:t>
      </w:r>
      <w:r>
        <w:rPr>
          <w:rFonts w:cs="宋体" w:asciiTheme="minorEastAsia" w:hAnsiTheme="minorEastAsia"/>
          <w:color w:val="000000"/>
          <w:kern w:val="0"/>
          <w:szCs w:val="21"/>
        </w:rPr>
        <w:t>21</w:t>
      </w:r>
      <w:r>
        <w:rPr>
          <w:rFonts w:hint="eastAsia" w:cs="宋体" w:asciiTheme="minorEastAsia" w:hAnsiTheme="minorEastAsia"/>
          <w:color w:val="000000"/>
          <w:kern w:val="0"/>
          <w:szCs w:val="21"/>
        </w:rPr>
        <w:t>日起，本公司新增东方财富证券为旗下部分基金的代销机构。现将相关事项公告如下：</w:t>
      </w:r>
    </w:p>
    <w:p>
      <w:pPr>
        <w:autoSpaceDE w:val="0"/>
        <w:autoSpaceDN w:val="0"/>
        <w:adjustRightInd w:val="0"/>
        <w:spacing w:line="360" w:lineRule="auto"/>
        <w:ind w:left="424" w:leftChars="202"/>
        <w:jc w:val="left"/>
        <w:rPr>
          <w:rFonts w:ascii="宋体" w:eastAsia="宋体" w:cs="宋体"/>
          <w:b/>
          <w:i/>
          <w:color w:val="FF0000"/>
          <w:kern w:val="0"/>
          <w:szCs w:val="21"/>
        </w:rPr>
      </w:pPr>
      <w:r>
        <w:rPr>
          <w:rFonts w:hint="eastAsia" w:ascii="宋体" w:eastAsia="宋体" w:cs="宋体"/>
          <w:b/>
          <w:color w:val="000000"/>
          <w:kern w:val="0"/>
          <w:szCs w:val="21"/>
        </w:rPr>
        <w:t>一、适用基金及业务范围</w:t>
      </w:r>
    </w:p>
    <w:tbl>
      <w:tblPr>
        <w:tblStyle w:val="9"/>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3997"/>
        <w:gridCol w:w="85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10" w:type="dxa"/>
          </w:tcPr>
          <w:p>
            <w:pPr>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编号</w:t>
            </w:r>
          </w:p>
        </w:tc>
        <w:tc>
          <w:tcPr>
            <w:tcW w:w="1134" w:type="dxa"/>
          </w:tcPr>
          <w:p>
            <w:pPr>
              <w:jc w:val="left"/>
              <w:rPr>
                <w:rFonts w:asciiTheme="minorEastAsia" w:hAnsiTheme="minorEastAsia"/>
                <w:b/>
                <w:szCs w:val="21"/>
              </w:rPr>
            </w:pPr>
            <w:r>
              <w:rPr>
                <w:rFonts w:hint="eastAsia" w:cs="宋体" w:asciiTheme="minorEastAsia" w:hAnsiTheme="minorEastAsia"/>
                <w:b/>
                <w:color w:val="000000"/>
                <w:kern w:val="0"/>
                <w:szCs w:val="21"/>
              </w:rPr>
              <w:t>基金代码</w:t>
            </w:r>
          </w:p>
        </w:tc>
        <w:tc>
          <w:tcPr>
            <w:tcW w:w="3997" w:type="dxa"/>
          </w:tcPr>
          <w:p>
            <w:pPr>
              <w:jc w:val="center"/>
              <w:rPr>
                <w:rFonts w:asciiTheme="minorEastAsia" w:hAnsiTheme="minorEastAsia"/>
                <w:b/>
                <w:szCs w:val="21"/>
              </w:rPr>
            </w:pPr>
            <w:r>
              <w:rPr>
                <w:rFonts w:hint="eastAsia" w:cs="宋体" w:asciiTheme="minorEastAsia" w:hAnsiTheme="minorEastAsia"/>
                <w:b/>
                <w:color w:val="000000"/>
                <w:kern w:val="0"/>
                <w:szCs w:val="21"/>
              </w:rPr>
              <w:t>基金名称</w:t>
            </w:r>
          </w:p>
        </w:tc>
        <w:tc>
          <w:tcPr>
            <w:tcW w:w="851" w:type="dxa"/>
          </w:tcPr>
          <w:p>
            <w:pP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w:t>
            </w:r>
            <w:r>
              <w:rPr>
                <w:rFonts w:cs="宋体" w:asciiTheme="minorEastAsia" w:hAnsiTheme="minorEastAsia"/>
                <w:b/>
                <w:color w:val="000000"/>
                <w:kern w:val="0"/>
                <w:szCs w:val="21"/>
              </w:rPr>
              <w:t>开通转换</w:t>
            </w:r>
          </w:p>
        </w:tc>
        <w:tc>
          <w:tcPr>
            <w:tcW w:w="1383" w:type="dxa"/>
          </w:tcPr>
          <w:p>
            <w:pPr>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基金份额</w:t>
            </w:r>
            <w:r>
              <w:rPr>
                <w:rFonts w:cs="宋体" w:asciiTheme="minorEastAsia" w:hAnsiTheme="minorEastAsia"/>
                <w:b/>
                <w:color w:val="000000"/>
                <w:kern w:val="0"/>
                <w:szCs w:val="21"/>
              </w:rPr>
              <w:t>登记机构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470009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汇添富民营活力混合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470888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汇添富香港优势精选混合(QDII)</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470018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w:t>
            </w:r>
            <w:bookmarkStart w:id="0" w:name="_GoBack"/>
            <w:bookmarkEnd w:id="0"/>
            <w:r>
              <w:rPr>
                <w:rFonts w:hint="eastAsia" w:ascii="宋体" w:hAnsi="宋体" w:eastAsia="宋体" w:cs="宋体"/>
                <w:color w:val="000000"/>
                <w:kern w:val="0"/>
                <w:sz w:val="22"/>
              </w:rPr>
              <w:t>富双利债券A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000692</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汇添富双利债券C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470028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汇添富社会责任混合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470058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汇添富可转换债券A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470059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汇添富可转换债券C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470068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汇添富深证300ETF联接</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470098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汇添富逆向投资混合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470011</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汇添富多元收益债券C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470010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汇添富多元收益债券A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000407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汇添富双利增强债券C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000406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汇添富双利增强债券A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001796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汇添富安鑫智选混合A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002158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汇添富安鑫智选混合C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001801</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汇添富达欣混合A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002165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汇添富达欣混合C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470021</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汇添富优选回报混合A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002418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汇添富优选回报混合C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001685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汇添富沪港深新价值股票</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003189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汇添富保鑫保本混合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001668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汇添富全球互联混合（QDII）人民币</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005228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添富港股通专注成长</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000762</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汇添富绝对收益定开混合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001725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汇添富高端制造股票</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004419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汇添富美元债债券（QDII）人民币A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004420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汇添富美元债债券（QDII）人民币C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004451</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添富年年丰定开混合A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004452</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添富年年丰定开混合C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004534</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添富年年益定开混合A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004535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添富年年益定开混合C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004774</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添富添福吉祥混合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004877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添富全球医疗混合(QDII)人民币</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004271</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汇添富民丰回报混合C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004270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汇添富民丰回报混合A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004946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添富盈润混合A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004947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添富盈润混合C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005379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添富价值创造定开混合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005802</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添富智能制造股票</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004424</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汇添富文体娱乐混合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006113</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添富创新医药混合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004688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添富熙和混合C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004687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添富熙和混合A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005504</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添富沪港深大盘价值混合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005351</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添富行业整合混合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005329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添富民安增益定开混合A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005330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添富民安增益定开混合C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005530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添富价值多因子股票</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006205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添富沪港深优势定开</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006308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添富全球消费混合（QDII）人民币A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006309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添富全球消费混合（QDII）人民币C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006408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添富消费升级混合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006646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添富短债债券A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006647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添富短债债券C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006696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添富3年封闭研究优选混合</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006884</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添富AAA级信用纯债A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006885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添富AAA级信用纯债C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006259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添富红利增长混合A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006260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添富红利增长混合C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006763</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汇添富养老2030三年持有混合（FOF）</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007059</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汇添富养老2040五年持有混合（FOF）</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62</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007060</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汇添富养老2050五年持有混合（FOF）</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63</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007076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添富中证医药ETF联接A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64</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007077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添富中证医药ETF联接C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65</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007153</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添富中证银行ETF联接A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66</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007154</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添富中证银行ETF联接C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67</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007355</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汇添富科技创新混合A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68</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007356</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汇添富科技创新混合C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69</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007456 </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汇添富90天短债A</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70</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007457</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汇添富90天短债B</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7"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71</w:t>
            </w:r>
          </w:p>
        </w:tc>
        <w:tc>
          <w:tcPr>
            <w:tcW w:w="1134" w:type="dxa"/>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007458</w:t>
            </w:r>
          </w:p>
        </w:tc>
        <w:tc>
          <w:tcPr>
            <w:tcW w:w="3997"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汇添富90天短债C</w:t>
            </w:r>
          </w:p>
        </w:tc>
        <w:tc>
          <w:tcPr>
            <w:tcW w:w="851"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汇添富基金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72</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501037</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汇添富中证500指数（LOF）C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73</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501036</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汇添富中证500指数（LOF）A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74</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501011</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汇添富中证中药指数（LOF）A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75</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501012</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汇添富中证中药指数（LOF）C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76</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501048</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汇添富中证全指证券公司指数（LOF）C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77</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501047</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汇添富中证全指证券公司指数（LOF）A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78</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501057</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汇添富中证新能源汽车产业指数（LOF）A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79</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501058</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汇添富中证新能源汽车产业指数（LOF）C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80</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501041</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汇添富弘安混合A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81</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501042</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汇添富弘安混合C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82</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164701</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汇添富黄金及贵金属(QDII-LOF-FOF)</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否</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83</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501009</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汇添富中证生物科技指数（LOF）A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84</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501010</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汇添富中证生物科技指数（LOF）C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85</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501006</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汇添富中证精准医指数（LOF）C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86</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501030</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汇添富中证环境治理指数（LOF）A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87</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501031</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汇添富中证环境治理指数（LOF）C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88</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501045</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汇添富沪深300指数（LOF）C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89</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501043</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汇添富沪深300指数（LOF）A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90</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501007</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汇添富中证互联网医疗指数(LOF)A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91</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501008</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汇添富中证互联网医疗指数(LOF)C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92</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501305</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汇添富中证港股通高股息投资指数（LOF）A</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 w:hRule="atLeast"/>
        </w:trPr>
        <w:tc>
          <w:tcPr>
            <w:tcW w:w="710" w:type="dxa"/>
            <w:noWrap/>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93</w:t>
            </w:r>
          </w:p>
        </w:tc>
        <w:tc>
          <w:tcPr>
            <w:tcW w:w="1134"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501306</w:t>
            </w:r>
          </w:p>
        </w:tc>
        <w:tc>
          <w:tcPr>
            <w:tcW w:w="3997"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汇添富中证港股通高股息投资指数（LOF）C</w:t>
            </w:r>
          </w:p>
        </w:tc>
        <w:tc>
          <w:tcPr>
            <w:tcW w:w="851"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w:t>
            </w:r>
          </w:p>
        </w:tc>
        <w:tc>
          <w:tcPr>
            <w:tcW w:w="1383" w:type="dxa"/>
            <w:noWrap/>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中国结算</w:t>
            </w:r>
          </w:p>
        </w:tc>
      </w:tr>
    </w:tbl>
    <w:p>
      <w:pPr>
        <w:autoSpaceDE w:val="0"/>
        <w:autoSpaceDN w:val="0"/>
        <w:adjustRightInd w:val="0"/>
        <w:spacing w:line="360" w:lineRule="auto"/>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自2019年</w:t>
      </w:r>
      <w:r>
        <w:rPr>
          <w:rFonts w:cs="宋体" w:asciiTheme="minorEastAsia" w:hAnsiTheme="minorEastAsia"/>
          <w:color w:val="000000"/>
          <w:kern w:val="0"/>
          <w:szCs w:val="21"/>
        </w:rPr>
        <w:t>8</w:t>
      </w:r>
      <w:r>
        <w:rPr>
          <w:rFonts w:hint="eastAsia" w:cs="宋体" w:asciiTheme="minorEastAsia" w:hAnsiTheme="minorEastAsia"/>
          <w:color w:val="000000"/>
          <w:kern w:val="0"/>
          <w:szCs w:val="21"/>
        </w:rPr>
        <w:t>月</w:t>
      </w:r>
      <w:r>
        <w:rPr>
          <w:rFonts w:cs="宋体" w:asciiTheme="minorEastAsia" w:hAnsiTheme="minorEastAsia"/>
          <w:color w:val="000000"/>
          <w:kern w:val="0"/>
          <w:szCs w:val="21"/>
        </w:rPr>
        <w:t>21</w:t>
      </w:r>
      <w:r>
        <w:rPr>
          <w:rFonts w:hint="eastAsia" w:cs="宋体" w:asciiTheme="minorEastAsia" w:hAnsiTheme="minorEastAsia"/>
          <w:color w:val="000000"/>
          <w:kern w:val="0"/>
          <w:szCs w:val="21"/>
        </w:rPr>
        <w:t>日起，投资人可通过东方财富证券办理上述列表中对应基金的开户、申购、赎回、转换等业务，具体的业务流程、办理时间和费率优惠活动以东方财富证券的规定为准。</w:t>
      </w:r>
    </w:p>
    <w:p>
      <w:pPr>
        <w:autoSpaceDE w:val="0"/>
        <w:autoSpaceDN w:val="0"/>
        <w:adjustRightInd w:val="0"/>
        <w:spacing w:line="360" w:lineRule="auto"/>
        <w:ind w:firstLine="422" w:firstLineChars="200"/>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 xml:space="preserve">二、重要提示 </w:t>
      </w:r>
    </w:p>
    <w:p>
      <w:pPr>
        <w:pStyle w:val="20"/>
        <w:numPr>
          <w:ilvl w:val="0"/>
          <w:numId w:val="1"/>
        </w:numPr>
        <w:autoSpaceDE w:val="0"/>
        <w:autoSpaceDN w:val="0"/>
        <w:adjustRightInd w:val="0"/>
        <w:spacing w:line="360" w:lineRule="auto"/>
        <w:ind w:left="0" w:firstLine="357" w:firstLineChars="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上述申购、赎回等业务仅适用于处于正常申购期及处于特定开放日和开放时间的基金。基金封闭期等特殊期间的有关规定详见对应基金的《基金合同》和《招募说明书》等相关法律文件及本公司发布的最新业务公告。 </w:t>
      </w:r>
    </w:p>
    <w:p>
      <w:pPr>
        <w:pStyle w:val="20"/>
        <w:numPr>
          <w:ilvl w:val="0"/>
          <w:numId w:val="1"/>
        </w:numPr>
        <w:autoSpaceDE w:val="0"/>
        <w:autoSpaceDN w:val="0"/>
        <w:adjustRightInd w:val="0"/>
        <w:spacing w:line="360" w:lineRule="auto"/>
        <w:ind w:left="0" w:firstLine="357" w:firstLineChars="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基金转换只能在同一代销机构进行。转换的两只基金必须都是该代销机构代理的同一基金管理人管理的、在同一基金份额登记机构注册登记的基金。投资者办理基金转换业务时，转出方的基金必须处于可赎回状态，转入方的基金必须处于可申购状态。同一基金的</w:t>
      </w:r>
      <w:r>
        <w:rPr>
          <w:rFonts w:cs="宋体" w:asciiTheme="minorEastAsia" w:hAnsiTheme="minorEastAsia"/>
          <w:color w:val="000000"/>
          <w:kern w:val="0"/>
          <w:szCs w:val="21"/>
        </w:rPr>
        <w:t>不同份额之间不</w:t>
      </w:r>
      <w:r>
        <w:rPr>
          <w:rFonts w:hint="eastAsia" w:cs="宋体" w:asciiTheme="minorEastAsia" w:hAnsiTheme="minorEastAsia"/>
          <w:color w:val="000000"/>
          <w:kern w:val="0"/>
          <w:szCs w:val="21"/>
        </w:rPr>
        <w:t>能</w:t>
      </w:r>
      <w:r>
        <w:rPr>
          <w:rFonts w:cs="宋体" w:asciiTheme="minorEastAsia" w:hAnsiTheme="minorEastAsia"/>
          <w:color w:val="000000"/>
          <w:kern w:val="0"/>
          <w:szCs w:val="21"/>
        </w:rPr>
        <w:t>转换。</w:t>
      </w:r>
    </w:p>
    <w:p>
      <w:pPr>
        <w:autoSpaceDE w:val="0"/>
        <w:autoSpaceDN w:val="0"/>
        <w:adjustRightInd w:val="0"/>
        <w:spacing w:line="360" w:lineRule="auto"/>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基金持有人可将其全部或部分基金份额转换成其它基金，但单笔转换份额不得低于1份。单笔转换申请不受转入基金最低申购限额限制。</w:t>
      </w:r>
    </w:p>
    <w:p>
      <w:pPr>
        <w:autoSpaceDE w:val="0"/>
        <w:autoSpaceDN w:val="0"/>
        <w:adjustRightInd w:val="0"/>
        <w:spacing w:line="360" w:lineRule="auto"/>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转换后基金份额持有人在销售机构保留的基金份额不足1份的，登记系统有权将全部剩余份额自动赎回。</w:t>
      </w:r>
    </w:p>
    <w:p>
      <w:pPr>
        <w:pStyle w:val="20"/>
        <w:numPr>
          <w:ilvl w:val="1"/>
          <w:numId w:val="1"/>
        </w:numPr>
        <w:autoSpaceDE w:val="0"/>
        <w:autoSpaceDN w:val="0"/>
        <w:adjustRightInd w:val="0"/>
        <w:spacing w:line="360" w:lineRule="auto"/>
        <w:ind w:left="851" w:firstLineChars="0"/>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投资者可通过以下途径咨询有关详情：</w:t>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1、西藏东方财富证券股份有限公司</w:t>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客服电话：</w:t>
      </w:r>
      <w:r>
        <w:rPr>
          <w:rFonts w:cs="宋体" w:asciiTheme="minorEastAsia" w:hAnsiTheme="minorEastAsia"/>
          <w:color w:val="000000"/>
          <w:kern w:val="0"/>
          <w:szCs w:val="21"/>
        </w:rPr>
        <w:t>95357</w:t>
      </w:r>
      <w:r>
        <w:rPr>
          <w:rFonts w:cs="宋体" w:asciiTheme="minorEastAsia" w:hAnsiTheme="minorEastAsia"/>
          <w:color w:val="000000"/>
          <w:kern w:val="0"/>
          <w:szCs w:val="21"/>
        </w:rPr>
        <w:tab/>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网站：</w:t>
      </w:r>
      <w:r>
        <w:rPr>
          <w:rFonts w:cs="宋体" w:asciiTheme="minorEastAsia" w:hAnsiTheme="minorEastAsia"/>
          <w:color w:val="000000"/>
          <w:kern w:val="0"/>
          <w:szCs w:val="21"/>
        </w:rPr>
        <w:t xml:space="preserve">www.18.cn   </w:t>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2、汇添富基金管理股份有限公司</w:t>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客服热线：400-888-9918</w:t>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网址：www.99fund.com</w:t>
      </w:r>
    </w:p>
    <w:p>
      <w:pPr>
        <w:autoSpaceDE w:val="0"/>
        <w:autoSpaceDN w:val="0"/>
        <w:adjustRightInd w:val="0"/>
        <w:spacing w:line="360" w:lineRule="auto"/>
        <w:ind w:firstLine="42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汇添富基金高度重视投资者服务和投资者教育，特此提醒投资者需正确认知基金投资的风险和长期收益，做理性的基金投资人，做明白的基金投资人，享受长期投资的快乐！</w:t>
      </w:r>
    </w:p>
    <w:p>
      <w:pPr>
        <w:autoSpaceDE w:val="0"/>
        <w:autoSpaceDN w:val="0"/>
        <w:adjustRightInd w:val="0"/>
        <w:spacing w:line="360" w:lineRule="auto"/>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特此公告。</w:t>
      </w:r>
    </w:p>
    <w:p>
      <w:pPr>
        <w:autoSpaceDE w:val="0"/>
        <w:autoSpaceDN w:val="0"/>
        <w:adjustRightInd w:val="0"/>
        <w:spacing w:line="360" w:lineRule="auto"/>
        <w:ind w:firstLine="420" w:firstLineChars="200"/>
        <w:jc w:val="right"/>
        <w:rPr>
          <w:rFonts w:cs="宋体" w:asciiTheme="minorEastAsia" w:hAnsiTheme="minorEastAsia"/>
          <w:color w:val="000000"/>
          <w:kern w:val="0"/>
          <w:szCs w:val="21"/>
        </w:rPr>
      </w:pPr>
      <w:r>
        <w:rPr>
          <w:rFonts w:cs="宋体" w:asciiTheme="minorEastAsia" w:hAnsiTheme="minorEastAsia"/>
          <w:color w:val="000000"/>
          <w:kern w:val="0"/>
          <w:szCs w:val="21"/>
        </w:rPr>
        <w:t>汇添富基金管理股份有限公司</w:t>
      </w:r>
    </w:p>
    <w:p>
      <w:pPr>
        <w:autoSpaceDE w:val="0"/>
        <w:autoSpaceDN w:val="0"/>
        <w:adjustRightInd w:val="0"/>
        <w:spacing w:line="360" w:lineRule="auto"/>
        <w:ind w:right="400" w:firstLine="420" w:firstLineChars="200"/>
        <w:jc w:val="right"/>
        <w:rPr>
          <w:rFonts w:cs="宋体" w:asciiTheme="minorEastAsia" w:hAnsiTheme="minorEastAsia"/>
          <w:color w:val="000000"/>
          <w:kern w:val="0"/>
          <w:szCs w:val="21"/>
        </w:rPr>
      </w:pPr>
      <w:r>
        <w:rPr>
          <w:rFonts w:cs="宋体" w:asciiTheme="minorEastAsia" w:hAnsiTheme="minorEastAsia"/>
          <w:color w:val="000000"/>
          <w:kern w:val="0"/>
          <w:szCs w:val="21"/>
        </w:rPr>
        <w:t>2019年8月20日</w:t>
      </w:r>
    </w:p>
    <w:p>
      <w:pPr>
        <w:autoSpaceDE w:val="0"/>
        <w:autoSpaceDN w:val="0"/>
        <w:adjustRightInd w:val="0"/>
        <w:spacing w:line="210" w:lineRule="exact"/>
        <w:jc w:val="right"/>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C1BC4"/>
    <w:multiLevelType w:val="multilevel"/>
    <w:tmpl w:val="6AFC1BC4"/>
    <w:lvl w:ilvl="0" w:tentative="0">
      <w:start w:val="1"/>
      <w:numFmt w:val="decimal"/>
      <w:lvlText w:val="%1、"/>
      <w:lvlJc w:val="left"/>
      <w:pPr>
        <w:ind w:left="760" w:hanging="360"/>
      </w:pPr>
      <w:rPr>
        <w:rFonts w:hint="default"/>
      </w:rPr>
    </w:lvl>
    <w:lvl w:ilvl="1" w:tentative="0">
      <w:start w:val="3"/>
      <w:numFmt w:val="japaneseCounting"/>
      <w:lvlText w:val="%2、"/>
      <w:lvlJc w:val="left"/>
      <w:pPr>
        <w:ind w:left="1270" w:hanging="450"/>
      </w:pPr>
      <w:rPr>
        <w:rFonts w:hint="default"/>
      </w:r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74"/>
    <w:rsid w:val="000120BF"/>
    <w:rsid w:val="00014876"/>
    <w:rsid w:val="00015224"/>
    <w:rsid w:val="00034672"/>
    <w:rsid w:val="00042A89"/>
    <w:rsid w:val="00044EC8"/>
    <w:rsid w:val="00047640"/>
    <w:rsid w:val="00052895"/>
    <w:rsid w:val="00060BB1"/>
    <w:rsid w:val="000640BE"/>
    <w:rsid w:val="00066ECE"/>
    <w:rsid w:val="000807D4"/>
    <w:rsid w:val="00082288"/>
    <w:rsid w:val="0008723F"/>
    <w:rsid w:val="000930D5"/>
    <w:rsid w:val="000977E0"/>
    <w:rsid w:val="000A1DCF"/>
    <w:rsid w:val="000A7D8F"/>
    <w:rsid w:val="000B69DF"/>
    <w:rsid w:val="000C6712"/>
    <w:rsid w:val="000D4166"/>
    <w:rsid w:val="000E6D4F"/>
    <w:rsid w:val="000E7AF4"/>
    <w:rsid w:val="000F2972"/>
    <w:rsid w:val="000F68C4"/>
    <w:rsid w:val="00100F4E"/>
    <w:rsid w:val="00110813"/>
    <w:rsid w:val="00127990"/>
    <w:rsid w:val="0013023F"/>
    <w:rsid w:val="00174559"/>
    <w:rsid w:val="00186C6B"/>
    <w:rsid w:val="00187E78"/>
    <w:rsid w:val="001A4AD5"/>
    <w:rsid w:val="001A7FA1"/>
    <w:rsid w:val="001B2F36"/>
    <w:rsid w:val="001B3728"/>
    <w:rsid w:val="001B3CC1"/>
    <w:rsid w:val="001B56E2"/>
    <w:rsid w:val="001C495B"/>
    <w:rsid w:val="001C531C"/>
    <w:rsid w:val="001D1DE4"/>
    <w:rsid w:val="001D6EAB"/>
    <w:rsid w:val="001D789D"/>
    <w:rsid w:val="001E15D4"/>
    <w:rsid w:val="001E5759"/>
    <w:rsid w:val="001F4DD2"/>
    <w:rsid w:val="002164AA"/>
    <w:rsid w:val="0022198B"/>
    <w:rsid w:val="002232BA"/>
    <w:rsid w:val="00231686"/>
    <w:rsid w:val="002347C5"/>
    <w:rsid w:val="00235F05"/>
    <w:rsid w:val="00246411"/>
    <w:rsid w:val="00256F96"/>
    <w:rsid w:val="002611E7"/>
    <w:rsid w:val="00261B83"/>
    <w:rsid w:val="002620F4"/>
    <w:rsid w:val="00270336"/>
    <w:rsid w:val="00277A11"/>
    <w:rsid w:val="00280F8B"/>
    <w:rsid w:val="00291F41"/>
    <w:rsid w:val="002C342A"/>
    <w:rsid w:val="002D44ED"/>
    <w:rsid w:val="002E0BB3"/>
    <w:rsid w:val="002F370A"/>
    <w:rsid w:val="0033124D"/>
    <w:rsid w:val="0033788B"/>
    <w:rsid w:val="00354BF3"/>
    <w:rsid w:val="00355222"/>
    <w:rsid w:val="00364EE8"/>
    <w:rsid w:val="0038465A"/>
    <w:rsid w:val="00392A98"/>
    <w:rsid w:val="003A1DC6"/>
    <w:rsid w:val="003B78AC"/>
    <w:rsid w:val="003C1694"/>
    <w:rsid w:val="003C4B8A"/>
    <w:rsid w:val="003D124D"/>
    <w:rsid w:val="003D3026"/>
    <w:rsid w:val="003D703A"/>
    <w:rsid w:val="003F5FF2"/>
    <w:rsid w:val="004005C9"/>
    <w:rsid w:val="0040664F"/>
    <w:rsid w:val="00411994"/>
    <w:rsid w:val="00430540"/>
    <w:rsid w:val="00430762"/>
    <w:rsid w:val="00436474"/>
    <w:rsid w:val="0044066A"/>
    <w:rsid w:val="0045778E"/>
    <w:rsid w:val="004648A7"/>
    <w:rsid w:val="00473484"/>
    <w:rsid w:val="00473EAA"/>
    <w:rsid w:val="00474DA6"/>
    <w:rsid w:val="004878E8"/>
    <w:rsid w:val="0048794D"/>
    <w:rsid w:val="004B0266"/>
    <w:rsid w:val="004C2E5E"/>
    <w:rsid w:val="004C4125"/>
    <w:rsid w:val="004D6683"/>
    <w:rsid w:val="004E0EB7"/>
    <w:rsid w:val="004F05CD"/>
    <w:rsid w:val="00527999"/>
    <w:rsid w:val="00530766"/>
    <w:rsid w:val="005321DC"/>
    <w:rsid w:val="005365D6"/>
    <w:rsid w:val="0053764F"/>
    <w:rsid w:val="00540865"/>
    <w:rsid w:val="00543000"/>
    <w:rsid w:val="00562437"/>
    <w:rsid w:val="00565211"/>
    <w:rsid w:val="00592ABF"/>
    <w:rsid w:val="005B69C1"/>
    <w:rsid w:val="005C0A6C"/>
    <w:rsid w:val="005F0F54"/>
    <w:rsid w:val="005F404B"/>
    <w:rsid w:val="005F641A"/>
    <w:rsid w:val="005F6A61"/>
    <w:rsid w:val="005F7878"/>
    <w:rsid w:val="006016D4"/>
    <w:rsid w:val="006047CA"/>
    <w:rsid w:val="00607287"/>
    <w:rsid w:val="006107F2"/>
    <w:rsid w:val="00615218"/>
    <w:rsid w:val="00646822"/>
    <w:rsid w:val="006619BA"/>
    <w:rsid w:val="00673A88"/>
    <w:rsid w:val="006759D3"/>
    <w:rsid w:val="00696B96"/>
    <w:rsid w:val="006A1920"/>
    <w:rsid w:val="006A744C"/>
    <w:rsid w:val="006B1368"/>
    <w:rsid w:val="006D5030"/>
    <w:rsid w:val="006E3E6D"/>
    <w:rsid w:val="007023CC"/>
    <w:rsid w:val="00724543"/>
    <w:rsid w:val="00727AAD"/>
    <w:rsid w:val="007317EC"/>
    <w:rsid w:val="0073314C"/>
    <w:rsid w:val="007353D6"/>
    <w:rsid w:val="00743B87"/>
    <w:rsid w:val="00760031"/>
    <w:rsid w:val="00762DBE"/>
    <w:rsid w:val="00775D49"/>
    <w:rsid w:val="007C2045"/>
    <w:rsid w:val="007C2D55"/>
    <w:rsid w:val="007C38D4"/>
    <w:rsid w:val="007C66A6"/>
    <w:rsid w:val="007D4F04"/>
    <w:rsid w:val="007F0928"/>
    <w:rsid w:val="00801BDA"/>
    <w:rsid w:val="00812C25"/>
    <w:rsid w:val="0083710F"/>
    <w:rsid w:val="00844203"/>
    <w:rsid w:val="00866121"/>
    <w:rsid w:val="008860DC"/>
    <w:rsid w:val="00894603"/>
    <w:rsid w:val="008A069D"/>
    <w:rsid w:val="008C3A1B"/>
    <w:rsid w:val="008D098E"/>
    <w:rsid w:val="008D0F36"/>
    <w:rsid w:val="008D7C50"/>
    <w:rsid w:val="009140A3"/>
    <w:rsid w:val="00930D4B"/>
    <w:rsid w:val="00931C86"/>
    <w:rsid w:val="0095191C"/>
    <w:rsid w:val="00956C87"/>
    <w:rsid w:val="00964048"/>
    <w:rsid w:val="0098151E"/>
    <w:rsid w:val="00984F9D"/>
    <w:rsid w:val="009918A0"/>
    <w:rsid w:val="00993684"/>
    <w:rsid w:val="009963DE"/>
    <w:rsid w:val="009A4FF8"/>
    <w:rsid w:val="009B1826"/>
    <w:rsid w:val="009B7CC8"/>
    <w:rsid w:val="009C0AB4"/>
    <w:rsid w:val="009C0DB5"/>
    <w:rsid w:val="009C334D"/>
    <w:rsid w:val="009C59E6"/>
    <w:rsid w:val="009D529F"/>
    <w:rsid w:val="009D65B5"/>
    <w:rsid w:val="009F7687"/>
    <w:rsid w:val="00A029C7"/>
    <w:rsid w:val="00A049FF"/>
    <w:rsid w:val="00A11798"/>
    <w:rsid w:val="00A31418"/>
    <w:rsid w:val="00A43A87"/>
    <w:rsid w:val="00A6080E"/>
    <w:rsid w:val="00A67865"/>
    <w:rsid w:val="00A67973"/>
    <w:rsid w:val="00A82F32"/>
    <w:rsid w:val="00AA5181"/>
    <w:rsid w:val="00AA601A"/>
    <w:rsid w:val="00AB5F79"/>
    <w:rsid w:val="00AC1CF0"/>
    <w:rsid w:val="00AC30DF"/>
    <w:rsid w:val="00AC3226"/>
    <w:rsid w:val="00AD4999"/>
    <w:rsid w:val="00AE0ACE"/>
    <w:rsid w:val="00B051B1"/>
    <w:rsid w:val="00B13D20"/>
    <w:rsid w:val="00B14A08"/>
    <w:rsid w:val="00B218F5"/>
    <w:rsid w:val="00B23456"/>
    <w:rsid w:val="00B272AB"/>
    <w:rsid w:val="00B42395"/>
    <w:rsid w:val="00B47967"/>
    <w:rsid w:val="00B60A39"/>
    <w:rsid w:val="00B764B2"/>
    <w:rsid w:val="00B87148"/>
    <w:rsid w:val="00B9001D"/>
    <w:rsid w:val="00B933EB"/>
    <w:rsid w:val="00B965B5"/>
    <w:rsid w:val="00BB6135"/>
    <w:rsid w:val="00BD419C"/>
    <w:rsid w:val="00BE315B"/>
    <w:rsid w:val="00BF16BB"/>
    <w:rsid w:val="00BF3627"/>
    <w:rsid w:val="00BF5185"/>
    <w:rsid w:val="00C43871"/>
    <w:rsid w:val="00C50F60"/>
    <w:rsid w:val="00C835EE"/>
    <w:rsid w:val="00C84226"/>
    <w:rsid w:val="00C877B1"/>
    <w:rsid w:val="00C9064D"/>
    <w:rsid w:val="00C95C33"/>
    <w:rsid w:val="00C95E94"/>
    <w:rsid w:val="00CC0776"/>
    <w:rsid w:val="00CC6C70"/>
    <w:rsid w:val="00CD0674"/>
    <w:rsid w:val="00CD4F13"/>
    <w:rsid w:val="00CD6876"/>
    <w:rsid w:val="00CE4049"/>
    <w:rsid w:val="00CF1CCA"/>
    <w:rsid w:val="00CF4148"/>
    <w:rsid w:val="00D03FF6"/>
    <w:rsid w:val="00D1005C"/>
    <w:rsid w:val="00D2251E"/>
    <w:rsid w:val="00D2699D"/>
    <w:rsid w:val="00D308E3"/>
    <w:rsid w:val="00D314D6"/>
    <w:rsid w:val="00D47876"/>
    <w:rsid w:val="00D6367E"/>
    <w:rsid w:val="00D65E77"/>
    <w:rsid w:val="00DA7454"/>
    <w:rsid w:val="00DB0401"/>
    <w:rsid w:val="00DC18F6"/>
    <w:rsid w:val="00DC1985"/>
    <w:rsid w:val="00DC222B"/>
    <w:rsid w:val="00DC7351"/>
    <w:rsid w:val="00DD7E2A"/>
    <w:rsid w:val="00DE407C"/>
    <w:rsid w:val="00DE71B2"/>
    <w:rsid w:val="00DF1439"/>
    <w:rsid w:val="00DF615A"/>
    <w:rsid w:val="00E0662F"/>
    <w:rsid w:val="00E0742E"/>
    <w:rsid w:val="00E13389"/>
    <w:rsid w:val="00E16858"/>
    <w:rsid w:val="00E20FB6"/>
    <w:rsid w:val="00E271F4"/>
    <w:rsid w:val="00E3011E"/>
    <w:rsid w:val="00E41657"/>
    <w:rsid w:val="00E43196"/>
    <w:rsid w:val="00E455D6"/>
    <w:rsid w:val="00E55357"/>
    <w:rsid w:val="00E573CF"/>
    <w:rsid w:val="00E93572"/>
    <w:rsid w:val="00E95081"/>
    <w:rsid w:val="00EC3C55"/>
    <w:rsid w:val="00EC7607"/>
    <w:rsid w:val="00ED2DB9"/>
    <w:rsid w:val="00ED443E"/>
    <w:rsid w:val="00EE0826"/>
    <w:rsid w:val="00EF43A5"/>
    <w:rsid w:val="00F06A66"/>
    <w:rsid w:val="00F44941"/>
    <w:rsid w:val="00F617B4"/>
    <w:rsid w:val="00F761A1"/>
    <w:rsid w:val="00FA1EE8"/>
    <w:rsid w:val="00FA5BC3"/>
    <w:rsid w:val="00FB438A"/>
    <w:rsid w:val="00FC2AD4"/>
    <w:rsid w:val="00FC7F8A"/>
    <w:rsid w:val="00FE2D06"/>
    <w:rsid w:val="00FF0EA5"/>
    <w:rsid w:val="00FF4225"/>
    <w:rsid w:val="00FF491C"/>
    <w:rsid w:val="45B87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日期 Char"/>
    <w:basedOn w:val="10"/>
    <w:link w:val="3"/>
    <w:semiHidden/>
    <w:qFormat/>
    <w:uiPriority w:val="99"/>
  </w:style>
  <w:style w:type="character" w:customStyle="1" w:styleId="18">
    <w:name w:val="批注文字 Char"/>
    <w:basedOn w:val="10"/>
    <w:link w:val="2"/>
    <w:semiHidden/>
    <w:qFormat/>
    <w:uiPriority w:val="99"/>
  </w:style>
  <w:style w:type="character" w:customStyle="1" w:styleId="19">
    <w:name w:val="批注主题 Char"/>
    <w:basedOn w:val="18"/>
    <w:link w:val="7"/>
    <w:semiHidden/>
    <w:qFormat/>
    <w:uiPriority w:val="99"/>
    <w:rPr>
      <w:b/>
      <w:bCs/>
    </w:rPr>
  </w:style>
  <w:style w:type="paragraph" w:styleId="20">
    <w:name w:val="List Paragraph"/>
    <w:basedOn w:val="1"/>
    <w:qFormat/>
    <w:uiPriority w:val="34"/>
    <w:pPr>
      <w:ind w:firstLine="420" w:firstLineChars="200"/>
    </w:p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22">
    <w:name w:val="网格型浅色1"/>
    <w:basedOn w:val="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570</Words>
  <Characters>3252</Characters>
  <Lines>27</Lines>
  <Paragraphs>7</Paragraphs>
  <TotalTime>7</TotalTime>
  <ScaleCrop>false</ScaleCrop>
  <LinksUpToDate>false</LinksUpToDate>
  <CharactersWithSpaces>3815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2019-08-15T05:08:00Z</dcterms:created>
  <dc:creator>zhujieyou</dc:creator>
  <cp:lastModifiedBy>东方财富证券</cp:lastModifiedBy>
  <dcterms:modified xsi:type="dcterms:W3CDTF">2019-08-19T08:47:03Z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