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00" w:lineRule="exact"/>
        <w:jc w:val="center"/>
        <w:outlineLvl w:val="1"/>
        <w:rPr>
          <w:rFonts w:ascii="宋体" w:hAnsi="宋体" w:cs="宋体"/>
          <w:b/>
          <w:bCs/>
          <w:kern w:val="0"/>
          <w:sz w:val="24"/>
        </w:rPr>
      </w:pPr>
      <w:r>
        <w:rPr>
          <w:rFonts w:hint="eastAsia" w:ascii="宋体" w:hAnsi="宋体" w:cs="宋体"/>
          <w:b/>
          <w:bCs/>
          <w:kern w:val="0"/>
          <w:sz w:val="24"/>
        </w:rPr>
        <w:t>浦银安盛基金管理有限公司关于旗下部分基金新增西藏东方财富证券股份有限公司为代销机构及参加其费率优惠活动的公告</w:t>
      </w:r>
    </w:p>
    <w:p>
      <w:pPr>
        <w:widowControl/>
        <w:snapToGrid w:val="0"/>
        <w:spacing w:line="500" w:lineRule="exact"/>
        <w:ind w:firstLine="420" w:firstLineChars="200"/>
        <w:jc w:val="left"/>
        <w:rPr>
          <w:rFonts w:ascii="宋体" w:hAnsi="宋体" w:cs="宋体"/>
          <w:kern w:val="0"/>
          <w:szCs w:val="21"/>
        </w:rPr>
      </w:pPr>
      <w:r>
        <w:rPr>
          <w:rFonts w:hint="eastAsia" w:ascii="宋体" w:hAnsi="宋体" w:cs="宋体"/>
          <w:kern w:val="0"/>
          <w:szCs w:val="21"/>
        </w:rPr>
        <w:t>根据浦银安盛基金管理有限公司（以下简称“本公司”）与西藏东方财富证券股份有限公司（以下简称“东方财富</w:t>
      </w:r>
      <w:r>
        <w:rPr>
          <w:rFonts w:hint="eastAsia" w:ascii="宋体" w:hAnsi="宋体" w:cs="宋体"/>
          <w:kern w:val="0"/>
          <w:szCs w:val="21"/>
          <w:lang w:val="en-US" w:eastAsia="zh-CN"/>
        </w:rPr>
        <w:t>证券</w:t>
      </w:r>
      <w:r>
        <w:rPr>
          <w:rFonts w:hint="eastAsia" w:ascii="宋体" w:hAnsi="宋体" w:cs="宋体"/>
          <w:kern w:val="0"/>
          <w:szCs w:val="21"/>
        </w:rPr>
        <w:t>”）签署的代理销售协议，东方财富</w:t>
      </w:r>
      <w:r>
        <w:rPr>
          <w:rFonts w:hint="eastAsia" w:ascii="宋体" w:hAnsi="宋体" w:cs="宋体"/>
          <w:kern w:val="0"/>
          <w:szCs w:val="21"/>
          <w:lang w:val="en-US" w:eastAsia="zh-CN"/>
        </w:rPr>
        <w:t>证券</w:t>
      </w:r>
      <w:r>
        <w:rPr>
          <w:rFonts w:hint="eastAsia" w:ascii="宋体" w:hAnsi="宋体" w:cs="宋体"/>
          <w:kern w:val="0"/>
          <w:szCs w:val="21"/>
        </w:rPr>
        <w:t>自2019年6月</w:t>
      </w:r>
      <w:r>
        <w:rPr>
          <w:rFonts w:hint="eastAsia" w:ascii="宋体" w:hAnsi="宋体" w:cs="宋体"/>
          <w:kern w:val="0"/>
          <w:szCs w:val="21"/>
          <w:lang w:val="en-US" w:eastAsia="zh-CN"/>
        </w:rPr>
        <w:t>28</w:t>
      </w:r>
      <w:r>
        <w:rPr>
          <w:rFonts w:hint="eastAsia" w:ascii="宋体" w:hAnsi="宋体" w:cs="宋体"/>
          <w:kern w:val="0"/>
          <w:szCs w:val="21"/>
        </w:rPr>
        <w:t>日起正式代理销售本公司旗下部分开放式基金。投资者可通过东方财富</w:t>
      </w:r>
      <w:r>
        <w:rPr>
          <w:rFonts w:hint="eastAsia" w:ascii="宋体" w:hAnsi="宋体" w:cs="宋体"/>
          <w:kern w:val="0"/>
          <w:szCs w:val="21"/>
          <w:lang w:val="en-US" w:eastAsia="zh-CN"/>
        </w:rPr>
        <w:t>证券</w:t>
      </w:r>
      <w:r>
        <w:rPr>
          <w:rFonts w:hint="eastAsia" w:ascii="Arial" w:cs="Arial"/>
          <w:szCs w:val="21"/>
        </w:rPr>
        <w:t>网上交易系统办理开户和</w:t>
      </w:r>
      <w:r>
        <w:rPr>
          <w:rFonts w:ascii="Arial" w:cs="Arial"/>
          <w:szCs w:val="21"/>
        </w:rPr>
        <w:t>基金的</w:t>
      </w:r>
      <w:r>
        <w:rPr>
          <w:rFonts w:hint="eastAsia" w:ascii="Arial" w:cs="Arial"/>
          <w:szCs w:val="21"/>
        </w:rPr>
        <w:t>认</w:t>
      </w:r>
      <w:r>
        <w:rPr>
          <w:rFonts w:ascii="Arial" w:cs="Arial"/>
          <w:szCs w:val="21"/>
        </w:rPr>
        <w:t>申购、赎回等相关业务。具体的业务流程、</w:t>
      </w:r>
      <w:r>
        <w:rPr>
          <w:rFonts w:hint="eastAsia" w:ascii="Arial" w:cs="Arial"/>
          <w:szCs w:val="21"/>
        </w:rPr>
        <w:t>办理</w:t>
      </w:r>
      <w:r>
        <w:rPr>
          <w:rFonts w:ascii="Arial" w:cs="Arial"/>
          <w:szCs w:val="21"/>
        </w:rPr>
        <w:t>时间和办理方式以</w:t>
      </w:r>
      <w:r>
        <w:rPr>
          <w:rFonts w:hint="eastAsia" w:ascii="宋体" w:hAnsi="宋体" w:cs="宋体"/>
          <w:kern w:val="0"/>
          <w:szCs w:val="21"/>
        </w:rPr>
        <w:t>东方财富</w:t>
      </w:r>
      <w:r>
        <w:rPr>
          <w:rFonts w:hint="eastAsia" w:ascii="宋体" w:hAnsi="宋体" w:cs="宋体"/>
          <w:kern w:val="0"/>
          <w:szCs w:val="21"/>
          <w:lang w:val="en-US" w:eastAsia="zh-CN"/>
        </w:rPr>
        <w:t>证券</w:t>
      </w:r>
      <w:r>
        <w:rPr>
          <w:rFonts w:ascii="Arial" w:cs="Arial"/>
          <w:szCs w:val="21"/>
        </w:rPr>
        <w:t>的规定为准。</w:t>
      </w:r>
      <w:r>
        <w:rPr>
          <w:rFonts w:hint="eastAsia" w:ascii="宋体" w:hAnsi="宋体" w:cs="宋体"/>
          <w:kern w:val="0"/>
          <w:szCs w:val="21"/>
        </w:rPr>
        <w:t>本公司旗下部分开放式基金于同日起参加东方财富</w:t>
      </w:r>
      <w:r>
        <w:rPr>
          <w:rFonts w:hint="eastAsia" w:ascii="宋体" w:hAnsi="宋体" w:cs="宋体"/>
          <w:kern w:val="0"/>
          <w:szCs w:val="21"/>
          <w:lang w:val="en-US" w:eastAsia="zh-CN"/>
        </w:rPr>
        <w:t>证券</w:t>
      </w:r>
      <w:r>
        <w:rPr>
          <w:rFonts w:hint="eastAsia" w:ascii="宋体" w:hAnsi="宋体" w:cs="宋体"/>
          <w:kern w:val="0"/>
          <w:szCs w:val="21"/>
        </w:rPr>
        <w:t>的网上交易系统认申购费率优惠活动。具体公告如下：</w:t>
      </w:r>
    </w:p>
    <w:p>
      <w:pPr>
        <w:widowControl/>
        <w:snapToGrid w:val="0"/>
        <w:spacing w:line="500" w:lineRule="exact"/>
        <w:ind w:firstLine="540"/>
        <w:jc w:val="left"/>
        <w:rPr>
          <w:rFonts w:ascii="宋体" w:hAnsi="宋体" w:cs="宋体"/>
          <w:kern w:val="0"/>
          <w:szCs w:val="21"/>
        </w:rPr>
      </w:pPr>
    </w:p>
    <w:p>
      <w:pPr>
        <w:widowControl/>
        <w:numPr>
          <w:ilvl w:val="0"/>
          <w:numId w:val="1"/>
        </w:numPr>
        <w:snapToGrid w:val="0"/>
        <w:spacing w:line="500" w:lineRule="exact"/>
        <w:jc w:val="left"/>
        <w:rPr>
          <w:rFonts w:ascii="宋体" w:hAnsi="宋体" w:cs="宋体"/>
          <w:b/>
          <w:kern w:val="0"/>
          <w:szCs w:val="21"/>
        </w:rPr>
      </w:pPr>
      <w:r>
        <w:rPr>
          <w:rFonts w:hint="eastAsia" w:ascii="宋体" w:hAnsi="宋体" w:cs="宋体"/>
          <w:b/>
          <w:kern w:val="0"/>
          <w:szCs w:val="21"/>
        </w:rPr>
        <w:t>代销机构信息</w:t>
      </w:r>
    </w:p>
    <w:p>
      <w:pPr>
        <w:widowControl/>
        <w:snapToGrid w:val="0"/>
        <w:spacing w:line="500" w:lineRule="exact"/>
        <w:jc w:val="left"/>
        <w:rPr>
          <w:rFonts w:ascii="宋体" w:hAnsi="宋体" w:cs="宋体"/>
          <w:kern w:val="0"/>
          <w:szCs w:val="21"/>
        </w:rPr>
      </w:pPr>
      <w:r>
        <w:rPr>
          <w:rFonts w:hint="eastAsia" w:ascii="宋体" w:hAnsi="宋体" w:cs="宋体"/>
          <w:kern w:val="0"/>
          <w:szCs w:val="21"/>
        </w:rPr>
        <w:t>名称：西藏东方财富证券股份有限公司</w:t>
      </w:r>
    </w:p>
    <w:p>
      <w:pPr>
        <w:widowControl/>
        <w:snapToGrid w:val="0"/>
        <w:spacing w:line="500" w:lineRule="exact"/>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color w:val="000000"/>
          <w:kern w:val="0"/>
          <w:sz w:val="22"/>
        </w:rPr>
        <w:t>西藏自治区拉萨市柳梧新区国际总部城10栋楼</w:t>
      </w:r>
    </w:p>
    <w:p>
      <w:pPr>
        <w:widowControl/>
        <w:snapToGrid w:val="0"/>
        <w:spacing w:line="500" w:lineRule="exact"/>
        <w:jc w:val="left"/>
        <w:rPr>
          <w:rFonts w:ascii="宋体" w:hAnsi="宋体" w:cs="宋体"/>
          <w:kern w:val="0"/>
          <w:szCs w:val="21"/>
        </w:rPr>
      </w:pPr>
      <w:r>
        <w:rPr>
          <w:rFonts w:hint="eastAsia" w:ascii="宋体" w:hAnsi="宋体" w:cs="宋体"/>
          <w:kern w:val="0"/>
          <w:szCs w:val="21"/>
        </w:rPr>
        <w:t>办公地址：</w:t>
      </w:r>
      <w:r>
        <w:rPr>
          <w:rFonts w:ascii="宋体" w:hAnsi="宋体" w:cs="宋体"/>
          <w:kern w:val="0"/>
          <w:szCs w:val="21"/>
        </w:rPr>
        <w:t xml:space="preserve"> </w:t>
      </w:r>
      <w:r>
        <w:rPr>
          <w:rFonts w:hint="eastAsia" w:ascii="宋体" w:hAnsi="宋体" w:cs="宋体"/>
          <w:color w:val="000000"/>
          <w:kern w:val="0"/>
          <w:sz w:val="22"/>
        </w:rPr>
        <w:t>上海市徐汇区宛平南路88号金座东方财富大厦</w:t>
      </w:r>
    </w:p>
    <w:p>
      <w:pPr>
        <w:widowControl/>
        <w:snapToGrid w:val="0"/>
        <w:spacing w:line="500" w:lineRule="exact"/>
        <w:jc w:val="left"/>
        <w:rPr>
          <w:rFonts w:ascii="宋体" w:hAnsi="宋体" w:cs="宋体"/>
          <w:kern w:val="0"/>
          <w:szCs w:val="21"/>
        </w:rPr>
      </w:pPr>
      <w:r>
        <w:rPr>
          <w:rFonts w:hint="eastAsia" w:ascii="宋体" w:hAnsi="宋体" w:cs="宋体"/>
          <w:kern w:val="0"/>
          <w:szCs w:val="21"/>
        </w:rPr>
        <w:t>法定代表人：</w:t>
      </w:r>
      <w:r>
        <w:rPr>
          <w:rFonts w:ascii="宋体" w:hAnsi="宋体" w:cs="宋体"/>
          <w:kern w:val="0"/>
          <w:szCs w:val="21"/>
        </w:rPr>
        <w:t xml:space="preserve"> </w:t>
      </w:r>
      <w:r>
        <w:rPr>
          <w:rFonts w:hint="eastAsia" w:ascii="宋体" w:hAnsi="宋体" w:cs="宋体"/>
          <w:color w:val="000000"/>
          <w:kern w:val="0"/>
          <w:sz w:val="22"/>
        </w:rPr>
        <w:t>陈宏</w:t>
      </w:r>
    </w:p>
    <w:p>
      <w:pPr>
        <w:widowControl/>
        <w:snapToGrid w:val="0"/>
        <w:spacing w:line="500" w:lineRule="exact"/>
        <w:jc w:val="left"/>
        <w:rPr>
          <w:rFonts w:cs="宋体" w:asciiTheme="minorEastAsia" w:hAnsiTheme="minorEastAsia"/>
          <w:color w:val="000000"/>
          <w:kern w:val="0"/>
          <w:sz w:val="24"/>
        </w:rPr>
      </w:pPr>
      <w:r>
        <w:rPr>
          <w:rFonts w:hint="eastAsia" w:ascii="宋体" w:hAnsi="宋体" w:cs="宋体"/>
          <w:kern w:val="0"/>
          <w:szCs w:val="21"/>
        </w:rPr>
        <w:t>客服电话：</w:t>
      </w:r>
      <w:r>
        <w:rPr>
          <w:rFonts w:hint="eastAsia" w:ascii="宋体" w:hAnsi="宋体" w:cs="宋体"/>
          <w:color w:val="000000"/>
          <w:kern w:val="0"/>
          <w:sz w:val="22"/>
        </w:rPr>
        <w:t>95357</w:t>
      </w:r>
    </w:p>
    <w:p>
      <w:pPr>
        <w:widowControl/>
        <w:snapToGrid w:val="0"/>
        <w:spacing w:line="500" w:lineRule="exact"/>
        <w:jc w:val="left"/>
        <w:rPr>
          <w:rFonts w:ascii="宋体" w:hAnsi="宋体" w:cs="宋体"/>
          <w:kern w:val="0"/>
          <w:szCs w:val="21"/>
        </w:rPr>
      </w:pPr>
    </w:p>
    <w:p>
      <w:pPr>
        <w:widowControl/>
        <w:numPr>
          <w:ilvl w:val="0"/>
          <w:numId w:val="1"/>
        </w:numPr>
        <w:snapToGrid w:val="0"/>
        <w:spacing w:line="500" w:lineRule="exact"/>
        <w:jc w:val="left"/>
        <w:rPr>
          <w:rFonts w:ascii="宋体" w:hAnsi="宋体" w:cs="宋体"/>
          <w:b/>
          <w:kern w:val="0"/>
          <w:szCs w:val="21"/>
        </w:rPr>
      </w:pPr>
      <w:r>
        <w:rPr>
          <w:rFonts w:hint="eastAsia" w:ascii="宋体" w:hAnsi="宋体" w:cs="宋体"/>
          <w:b/>
          <w:kern w:val="0"/>
          <w:szCs w:val="21"/>
        </w:rPr>
        <w:t>本次增加东方财富</w:t>
      </w:r>
      <w:r>
        <w:rPr>
          <w:rFonts w:hint="eastAsia" w:ascii="宋体" w:hAnsi="宋体" w:cs="宋体"/>
          <w:b/>
          <w:kern w:val="0"/>
          <w:szCs w:val="21"/>
          <w:lang w:val="en-US" w:eastAsia="zh-CN"/>
        </w:rPr>
        <w:t>证券</w:t>
      </w:r>
      <w:r>
        <w:rPr>
          <w:rFonts w:hint="eastAsia" w:ascii="宋体" w:hAnsi="宋体" w:cs="宋体"/>
          <w:b/>
          <w:kern w:val="0"/>
          <w:szCs w:val="21"/>
        </w:rPr>
        <w:t>为代销机构的基金包括：</w:t>
      </w:r>
    </w:p>
    <w:tbl>
      <w:tblPr>
        <w:tblStyle w:val="9"/>
        <w:tblW w:w="83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977"/>
        <w:gridCol w:w="4612"/>
        <w:gridCol w:w="1058"/>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序号</w:t>
            </w:r>
          </w:p>
        </w:tc>
        <w:tc>
          <w:tcPr>
            <w:tcW w:w="977"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基金代码</w:t>
            </w:r>
          </w:p>
        </w:tc>
        <w:tc>
          <w:tcPr>
            <w:tcW w:w="4612"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基金名称</w:t>
            </w:r>
          </w:p>
        </w:tc>
        <w:tc>
          <w:tcPr>
            <w:tcW w:w="1058"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开通代销</w:t>
            </w:r>
          </w:p>
        </w:tc>
        <w:tc>
          <w:tcPr>
            <w:tcW w:w="1177"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参加认申购费率优惠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1</w:t>
            </w:r>
          </w:p>
        </w:tc>
        <w:tc>
          <w:tcPr>
            <w:tcW w:w="977" w:type="dxa"/>
          </w:tcPr>
          <w:p>
            <w:pPr>
              <w:jc w:val="center"/>
              <w:rPr>
                <w:rFonts w:ascii="宋体" w:hAnsi="宋体" w:cs="宋体"/>
                <w:b/>
                <w:kern w:val="0"/>
                <w:szCs w:val="21"/>
              </w:rPr>
            </w:pPr>
            <w:r>
              <w:rPr>
                <w:rFonts w:hint="eastAsia"/>
              </w:rPr>
              <w:t>519110</w:t>
            </w:r>
          </w:p>
        </w:tc>
        <w:tc>
          <w:tcPr>
            <w:tcW w:w="4612" w:type="dxa"/>
          </w:tcPr>
          <w:p>
            <w:pPr>
              <w:rPr>
                <w:rFonts w:ascii="宋体" w:hAnsi="宋体" w:cs="宋体"/>
                <w:b/>
                <w:kern w:val="0"/>
                <w:szCs w:val="21"/>
              </w:rPr>
            </w:pPr>
            <w:r>
              <w:rPr>
                <w:rFonts w:hint="eastAsia"/>
              </w:rPr>
              <w:t>浦银安盛价值成长混合型证券投资基金A类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2</w:t>
            </w:r>
          </w:p>
        </w:tc>
        <w:tc>
          <w:tcPr>
            <w:tcW w:w="977" w:type="dxa"/>
          </w:tcPr>
          <w:p>
            <w:pPr>
              <w:jc w:val="center"/>
              <w:rPr>
                <w:rFonts w:ascii="宋体" w:hAnsi="宋体" w:cs="宋体"/>
                <w:b/>
                <w:kern w:val="0"/>
                <w:szCs w:val="21"/>
              </w:rPr>
            </w:pPr>
            <w:r>
              <w:rPr>
                <w:rFonts w:hint="eastAsia"/>
              </w:rPr>
              <w:t>519111</w:t>
            </w:r>
          </w:p>
        </w:tc>
        <w:tc>
          <w:tcPr>
            <w:tcW w:w="4612" w:type="dxa"/>
          </w:tcPr>
          <w:p>
            <w:pPr>
              <w:rPr>
                <w:rFonts w:ascii="宋体" w:hAnsi="宋体" w:cs="宋体"/>
                <w:b/>
                <w:kern w:val="0"/>
                <w:szCs w:val="21"/>
              </w:rPr>
            </w:pPr>
            <w:r>
              <w:rPr>
                <w:rFonts w:hint="eastAsia"/>
              </w:rPr>
              <w:t>浦银安盛优化收益债券型证券投资基金A类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3</w:t>
            </w:r>
          </w:p>
        </w:tc>
        <w:tc>
          <w:tcPr>
            <w:tcW w:w="977" w:type="dxa"/>
          </w:tcPr>
          <w:p>
            <w:pPr>
              <w:jc w:val="center"/>
              <w:rPr>
                <w:rFonts w:ascii="宋体" w:hAnsi="宋体" w:cs="宋体"/>
                <w:b/>
                <w:kern w:val="0"/>
                <w:szCs w:val="21"/>
              </w:rPr>
            </w:pPr>
            <w:r>
              <w:rPr>
                <w:rFonts w:hint="eastAsia"/>
              </w:rPr>
              <w:t>519112</w:t>
            </w:r>
          </w:p>
        </w:tc>
        <w:tc>
          <w:tcPr>
            <w:tcW w:w="4612" w:type="dxa"/>
          </w:tcPr>
          <w:p>
            <w:pPr>
              <w:rPr>
                <w:rFonts w:ascii="宋体" w:hAnsi="宋体" w:cs="宋体"/>
                <w:b/>
                <w:kern w:val="0"/>
                <w:szCs w:val="21"/>
              </w:rPr>
            </w:pPr>
            <w:r>
              <w:rPr>
                <w:rFonts w:hint="eastAsia"/>
              </w:rPr>
              <w:t>浦银安盛优化收益债券型证券投资基金C类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4</w:t>
            </w:r>
          </w:p>
        </w:tc>
        <w:tc>
          <w:tcPr>
            <w:tcW w:w="977" w:type="dxa"/>
          </w:tcPr>
          <w:p>
            <w:pPr>
              <w:jc w:val="center"/>
              <w:rPr>
                <w:rFonts w:ascii="宋体" w:hAnsi="宋体" w:cs="宋体"/>
                <w:b/>
                <w:kern w:val="0"/>
                <w:szCs w:val="21"/>
              </w:rPr>
            </w:pPr>
            <w:r>
              <w:rPr>
                <w:rFonts w:hint="eastAsia"/>
              </w:rPr>
              <w:t>519113</w:t>
            </w:r>
          </w:p>
        </w:tc>
        <w:tc>
          <w:tcPr>
            <w:tcW w:w="4612" w:type="dxa"/>
          </w:tcPr>
          <w:p>
            <w:pPr>
              <w:rPr>
                <w:rFonts w:ascii="宋体" w:hAnsi="宋体" w:cs="宋体"/>
                <w:b/>
                <w:kern w:val="0"/>
                <w:szCs w:val="21"/>
              </w:rPr>
            </w:pPr>
            <w:r>
              <w:rPr>
                <w:rFonts w:hint="eastAsia"/>
              </w:rPr>
              <w:t>浦银安盛精致生活灵活配置混合型证券投资基金</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5</w:t>
            </w:r>
          </w:p>
        </w:tc>
        <w:tc>
          <w:tcPr>
            <w:tcW w:w="977" w:type="dxa"/>
          </w:tcPr>
          <w:p>
            <w:pPr>
              <w:jc w:val="center"/>
              <w:rPr>
                <w:rFonts w:ascii="宋体" w:hAnsi="宋体" w:cs="宋体"/>
                <w:b/>
                <w:kern w:val="0"/>
                <w:szCs w:val="21"/>
              </w:rPr>
            </w:pPr>
            <w:r>
              <w:rPr>
                <w:rFonts w:hint="eastAsia"/>
              </w:rPr>
              <w:t>519115</w:t>
            </w:r>
          </w:p>
        </w:tc>
        <w:tc>
          <w:tcPr>
            <w:tcW w:w="4612" w:type="dxa"/>
          </w:tcPr>
          <w:p>
            <w:pPr>
              <w:rPr>
                <w:rFonts w:ascii="宋体" w:hAnsi="宋体" w:cs="宋体"/>
                <w:b/>
                <w:kern w:val="0"/>
                <w:szCs w:val="21"/>
              </w:rPr>
            </w:pPr>
            <w:r>
              <w:rPr>
                <w:rFonts w:hint="eastAsia"/>
              </w:rPr>
              <w:t>浦银安盛红利精选混合型证券投资基金</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6</w:t>
            </w:r>
          </w:p>
        </w:tc>
        <w:tc>
          <w:tcPr>
            <w:tcW w:w="977" w:type="dxa"/>
          </w:tcPr>
          <w:p>
            <w:pPr>
              <w:jc w:val="center"/>
              <w:rPr>
                <w:rFonts w:ascii="宋体" w:hAnsi="宋体" w:cs="宋体"/>
                <w:b/>
                <w:kern w:val="0"/>
                <w:szCs w:val="21"/>
              </w:rPr>
            </w:pPr>
            <w:r>
              <w:rPr>
                <w:rFonts w:hint="eastAsia"/>
              </w:rPr>
              <w:t>519116</w:t>
            </w:r>
          </w:p>
        </w:tc>
        <w:tc>
          <w:tcPr>
            <w:tcW w:w="4612" w:type="dxa"/>
          </w:tcPr>
          <w:p>
            <w:pPr>
              <w:rPr>
                <w:rFonts w:ascii="宋体" w:hAnsi="宋体" w:cs="宋体"/>
                <w:b/>
                <w:kern w:val="0"/>
                <w:szCs w:val="21"/>
              </w:rPr>
            </w:pPr>
            <w:r>
              <w:rPr>
                <w:rFonts w:hint="eastAsia"/>
              </w:rPr>
              <w:t>浦银安盛沪深300指数增强型证券投资基金</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7</w:t>
            </w:r>
          </w:p>
        </w:tc>
        <w:tc>
          <w:tcPr>
            <w:tcW w:w="977" w:type="dxa"/>
          </w:tcPr>
          <w:p>
            <w:pPr>
              <w:jc w:val="center"/>
              <w:rPr>
                <w:rFonts w:ascii="宋体" w:hAnsi="宋体" w:cs="宋体"/>
                <w:b/>
                <w:kern w:val="0"/>
                <w:szCs w:val="21"/>
              </w:rPr>
            </w:pPr>
            <w:r>
              <w:rPr>
                <w:rFonts w:hint="eastAsia"/>
              </w:rPr>
              <w:t>519509</w:t>
            </w:r>
          </w:p>
        </w:tc>
        <w:tc>
          <w:tcPr>
            <w:tcW w:w="4612" w:type="dxa"/>
          </w:tcPr>
          <w:p>
            <w:pPr>
              <w:rPr>
                <w:rFonts w:ascii="宋体" w:hAnsi="宋体" w:cs="宋体"/>
                <w:b/>
                <w:kern w:val="0"/>
                <w:szCs w:val="21"/>
              </w:rPr>
            </w:pPr>
            <w:r>
              <w:rPr>
                <w:rFonts w:hint="eastAsia"/>
              </w:rPr>
              <w:t>浦银安盛货币市场证券投资基金A类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8</w:t>
            </w:r>
          </w:p>
        </w:tc>
        <w:tc>
          <w:tcPr>
            <w:tcW w:w="977" w:type="dxa"/>
          </w:tcPr>
          <w:p>
            <w:pPr>
              <w:jc w:val="center"/>
              <w:rPr>
                <w:rFonts w:ascii="宋体" w:hAnsi="宋体" w:cs="宋体"/>
                <w:b/>
                <w:kern w:val="0"/>
                <w:szCs w:val="21"/>
              </w:rPr>
            </w:pPr>
            <w:r>
              <w:rPr>
                <w:rFonts w:hint="eastAsia"/>
              </w:rPr>
              <w:t>519510</w:t>
            </w:r>
          </w:p>
        </w:tc>
        <w:tc>
          <w:tcPr>
            <w:tcW w:w="4612" w:type="dxa"/>
          </w:tcPr>
          <w:p>
            <w:pPr>
              <w:rPr>
                <w:rFonts w:ascii="宋体" w:hAnsi="宋体" w:cs="宋体"/>
                <w:b/>
                <w:kern w:val="0"/>
                <w:szCs w:val="21"/>
              </w:rPr>
            </w:pPr>
            <w:r>
              <w:rPr>
                <w:rFonts w:hint="eastAsia"/>
              </w:rPr>
              <w:t>浦银安盛货币市场证券投资基金B类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9</w:t>
            </w:r>
          </w:p>
        </w:tc>
        <w:tc>
          <w:tcPr>
            <w:tcW w:w="977" w:type="dxa"/>
          </w:tcPr>
          <w:p>
            <w:pPr>
              <w:jc w:val="center"/>
              <w:rPr>
                <w:rFonts w:ascii="宋体" w:hAnsi="宋体" w:cs="宋体"/>
                <w:b/>
                <w:kern w:val="0"/>
                <w:szCs w:val="21"/>
              </w:rPr>
            </w:pPr>
            <w:r>
              <w:rPr>
                <w:rFonts w:hint="eastAsia"/>
              </w:rPr>
              <w:t>166401</w:t>
            </w:r>
          </w:p>
        </w:tc>
        <w:tc>
          <w:tcPr>
            <w:tcW w:w="4612" w:type="dxa"/>
          </w:tcPr>
          <w:p>
            <w:pPr>
              <w:rPr>
                <w:rFonts w:ascii="宋体" w:hAnsi="宋体" w:cs="宋体"/>
                <w:b/>
                <w:kern w:val="0"/>
                <w:szCs w:val="21"/>
              </w:rPr>
            </w:pPr>
            <w:r>
              <w:rPr>
                <w:rFonts w:hint="eastAsia"/>
              </w:rPr>
              <w:t>浦银安盛稳健增利债券型证券投资基金（LOF）C类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10</w:t>
            </w:r>
          </w:p>
        </w:tc>
        <w:tc>
          <w:tcPr>
            <w:tcW w:w="977" w:type="dxa"/>
          </w:tcPr>
          <w:p>
            <w:pPr>
              <w:jc w:val="center"/>
              <w:rPr>
                <w:rFonts w:ascii="宋体" w:hAnsi="宋体" w:cs="宋体"/>
                <w:b/>
                <w:kern w:val="0"/>
                <w:szCs w:val="21"/>
              </w:rPr>
            </w:pPr>
            <w:r>
              <w:rPr>
                <w:rFonts w:hint="eastAsia"/>
              </w:rPr>
              <w:t>519117</w:t>
            </w:r>
          </w:p>
        </w:tc>
        <w:tc>
          <w:tcPr>
            <w:tcW w:w="4612" w:type="dxa"/>
          </w:tcPr>
          <w:p>
            <w:pPr>
              <w:rPr>
                <w:rFonts w:ascii="宋体" w:hAnsi="宋体" w:cs="宋体"/>
                <w:b/>
                <w:kern w:val="0"/>
                <w:szCs w:val="21"/>
              </w:rPr>
            </w:pPr>
            <w:r>
              <w:rPr>
                <w:rFonts w:hint="eastAsia"/>
              </w:rPr>
              <w:t>浦银安盛中证锐联基本面400指数证券投资基金</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11</w:t>
            </w:r>
          </w:p>
        </w:tc>
        <w:tc>
          <w:tcPr>
            <w:tcW w:w="977" w:type="dxa"/>
          </w:tcPr>
          <w:p>
            <w:pPr>
              <w:jc w:val="center"/>
              <w:rPr>
                <w:rFonts w:ascii="宋体" w:hAnsi="宋体" w:cs="宋体"/>
                <w:b/>
                <w:kern w:val="0"/>
                <w:szCs w:val="21"/>
              </w:rPr>
            </w:pPr>
            <w:r>
              <w:rPr>
                <w:rFonts w:hint="eastAsia"/>
              </w:rPr>
              <w:t>519118</w:t>
            </w:r>
          </w:p>
        </w:tc>
        <w:tc>
          <w:tcPr>
            <w:tcW w:w="4612" w:type="dxa"/>
          </w:tcPr>
          <w:p>
            <w:pPr>
              <w:rPr>
                <w:rFonts w:ascii="宋体" w:hAnsi="宋体" w:cs="宋体"/>
                <w:b/>
                <w:kern w:val="0"/>
                <w:szCs w:val="21"/>
              </w:rPr>
            </w:pPr>
            <w:r>
              <w:rPr>
                <w:rFonts w:hint="eastAsia"/>
              </w:rPr>
              <w:t>浦银安盛幸福回报定期开放债券型证券投资基金A类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12</w:t>
            </w:r>
          </w:p>
        </w:tc>
        <w:tc>
          <w:tcPr>
            <w:tcW w:w="977" w:type="dxa"/>
          </w:tcPr>
          <w:p>
            <w:pPr>
              <w:jc w:val="center"/>
              <w:rPr>
                <w:rFonts w:ascii="宋体" w:hAnsi="宋体" w:cs="宋体"/>
                <w:b/>
                <w:kern w:val="0"/>
                <w:szCs w:val="21"/>
              </w:rPr>
            </w:pPr>
            <w:r>
              <w:rPr>
                <w:rFonts w:hint="eastAsia"/>
              </w:rPr>
              <w:t>519119</w:t>
            </w:r>
          </w:p>
        </w:tc>
        <w:tc>
          <w:tcPr>
            <w:tcW w:w="4612" w:type="dxa"/>
          </w:tcPr>
          <w:p>
            <w:pPr>
              <w:rPr>
                <w:rFonts w:ascii="宋体" w:hAnsi="宋体" w:cs="宋体"/>
                <w:kern w:val="0"/>
                <w:szCs w:val="21"/>
              </w:rPr>
            </w:pPr>
            <w:r>
              <w:rPr>
                <w:rFonts w:hint="eastAsia"/>
              </w:rPr>
              <w:t>浦银安盛幸福回报定期开放债券型证券投资基金B类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13</w:t>
            </w:r>
          </w:p>
        </w:tc>
        <w:tc>
          <w:tcPr>
            <w:tcW w:w="977" w:type="dxa"/>
          </w:tcPr>
          <w:p>
            <w:pPr>
              <w:jc w:val="center"/>
              <w:rPr>
                <w:rFonts w:ascii="宋体" w:hAnsi="宋体" w:cs="宋体"/>
                <w:b/>
                <w:kern w:val="0"/>
                <w:szCs w:val="21"/>
              </w:rPr>
            </w:pPr>
            <w:r>
              <w:rPr>
                <w:rFonts w:hint="eastAsia"/>
              </w:rPr>
              <w:t>519120</w:t>
            </w:r>
          </w:p>
        </w:tc>
        <w:tc>
          <w:tcPr>
            <w:tcW w:w="4612" w:type="dxa"/>
          </w:tcPr>
          <w:p>
            <w:pPr>
              <w:rPr>
                <w:rFonts w:ascii="宋体" w:hAnsi="宋体" w:cs="宋体"/>
                <w:kern w:val="0"/>
                <w:szCs w:val="21"/>
              </w:rPr>
            </w:pPr>
            <w:r>
              <w:rPr>
                <w:rFonts w:hint="eastAsia"/>
              </w:rPr>
              <w:t>浦银安盛战略新兴产业混合型证券投资基金</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14</w:t>
            </w:r>
          </w:p>
        </w:tc>
        <w:tc>
          <w:tcPr>
            <w:tcW w:w="977" w:type="dxa"/>
          </w:tcPr>
          <w:p>
            <w:pPr>
              <w:jc w:val="center"/>
              <w:rPr>
                <w:rFonts w:ascii="宋体" w:hAnsi="宋体" w:cs="宋体"/>
                <w:b/>
                <w:kern w:val="0"/>
                <w:szCs w:val="21"/>
              </w:rPr>
            </w:pPr>
            <w:r>
              <w:rPr>
                <w:rFonts w:hint="eastAsia"/>
              </w:rPr>
              <w:t>519121</w:t>
            </w:r>
          </w:p>
        </w:tc>
        <w:tc>
          <w:tcPr>
            <w:tcW w:w="4612" w:type="dxa"/>
          </w:tcPr>
          <w:p>
            <w:pPr>
              <w:rPr>
                <w:rFonts w:ascii="宋体" w:hAnsi="宋体" w:cs="宋体"/>
                <w:kern w:val="0"/>
                <w:szCs w:val="21"/>
              </w:rPr>
            </w:pPr>
            <w:r>
              <w:rPr>
                <w:rFonts w:hint="eastAsia"/>
              </w:rPr>
              <w:t>浦银安盛6个月定期开放债券型证券投资基金A类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15</w:t>
            </w:r>
          </w:p>
        </w:tc>
        <w:tc>
          <w:tcPr>
            <w:tcW w:w="977" w:type="dxa"/>
          </w:tcPr>
          <w:p>
            <w:pPr>
              <w:jc w:val="center"/>
              <w:rPr>
                <w:rFonts w:ascii="宋体" w:hAnsi="宋体" w:cs="宋体"/>
                <w:b/>
                <w:kern w:val="0"/>
                <w:szCs w:val="21"/>
              </w:rPr>
            </w:pPr>
            <w:r>
              <w:rPr>
                <w:rFonts w:hint="eastAsia"/>
              </w:rPr>
              <w:t>519122</w:t>
            </w:r>
          </w:p>
        </w:tc>
        <w:tc>
          <w:tcPr>
            <w:tcW w:w="4612" w:type="dxa"/>
          </w:tcPr>
          <w:p>
            <w:pPr>
              <w:rPr>
                <w:rFonts w:ascii="宋体" w:hAnsi="宋体" w:cs="宋体"/>
                <w:kern w:val="0"/>
                <w:szCs w:val="21"/>
              </w:rPr>
            </w:pPr>
            <w:r>
              <w:rPr>
                <w:rFonts w:hint="eastAsia"/>
              </w:rPr>
              <w:t>浦银安盛6个月定期开放债券型证券投资基金C类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16</w:t>
            </w:r>
          </w:p>
        </w:tc>
        <w:tc>
          <w:tcPr>
            <w:tcW w:w="977" w:type="dxa"/>
          </w:tcPr>
          <w:p>
            <w:pPr>
              <w:jc w:val="center"/>
              <w:rPr>
                <w:rFonts w:ascii="宋体" w:hAnsi="宋体" w:cs="宋体"/>
                <w:b/>
                <w:kern w:val="0"/>
                <w:szCs w:val="21"/>
              </w:rPr>
            </w:pPr>
            <w:r>
              <w:rPr>
                <w:rFonts w:hint="eastAsia"/>
              </w:rPr>
              <w:t>519123</w:t>
            </w:r>
          </w:p>
        </w:tc>
        <w:tc>
          <w:tcPr>
            <w:tcW w:w="4612" w:type="dxa"/>
          </w:tcPr>
          <w:p>
            <w:pPr>
              <w:rPr>
                <w:rFonts w:ascii="宋体" w:hAnsi="宋体" w:cs="宋体"/>
                <w:kern w:val="0"/>
                <w:szCs w:val="21"/>
              </w:rPr>
            </w:pPr>
            <w:r>
              <w:rPr>
                <w:rFonts w:hint="eastAsia"/>
              </w:rPr>
              <w:t>浦银安盛季季添利定期开放债券型证券投资基金A类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17</w:t>
            </w:r>
          </w:p>
        </w:tc>
        <w:tc>
          <w:tcPr>
            <w:tcW w:w="977" w:type="dxa"/>
          </w:tcPr>
          <w:p>
            <w:pPr>
              <w:jc w:val="center"/>
              <w:rPr>
                <w:rFonts w:ascii="宋体" w:hAnsi="宋体" w:cs="宋体"/>
                <w:b/>
                <w:kern w:val="0"/>
                <w:szCs w:val="21"/>
              </w:rPr>
            </w:pPr>
            <w:r>
              <w:rPr>
                <w:rFonts w:hint="eastAsia"/>
              </w:rPr>
              <w:t>519124</w:t>
            </w:r>
          </w:p>
        </w:tc>
        <w:tc>
          <w:tcPr>
            <w:tcW w:w="4612" w:type="dxa"/>
          </w:tcPr>
          <w:p>
            <w:pPr>
              <w:rPr>
                <w:rFonts w:ascii="宋体" w:hAnsi="宋体" w:cs="宋体"/>
                <w:kern w:val="0"/>
                <w:szCs w:val="21"/>
              </w:rPr>
            </w:pPr>
            <w:r>
              <w:rPr>
                <w:rFonts w:hint="eastAsia"/>
              </w:rPr>
              <w:t>浦银安盛季季添利定期开放债券型证券投资基金C类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18</w:t>
            </w:r>
          </w:p>
        </w:tc>
        <w:tc>
          <w:tcPr>
            <w:tcW w:w="977" w:type="dxa"/>
          </w:tcPr>
          <w:p>
            <w:pPr>
              <w:jc w:val="center"/>
              <w:rPr>
                <w:rFonts w:ascii="宋体" w:hAnsi="宋体" w:cs="宋体"/>
                <w:b/>
                <w:kern w:val="0"/>
                <w:szCs w:val="21"/>
              </w:rPr>
            </w:pPr>
            <w:r>
              <w:rPr>
                <w:rFonts w:hint="eastAsia"/>
              </w:rPr>
              <w:t>519125</w:t>
            </w:r>
          </w:p>
        </w:tc>
        <w:tc>
          <w:tcPr>
            <w:tcW w:w="4612" w:type="dxa"/>
          </w:tcPr>
          <w:p>
            <w:pPr>
              <w:rPr>
                <w:rFonts w:ascii="宋体" w:hAnsi="宋体" w:cs="宋体"/>
                <w:kern w:val="0"/>
                <w:szCs w:val="21"/>
              </w:rPr>
            </w:pPr>
            <w:r>
              <w:rPr>
                <w:rFonts w:hint="eastAsia"/>
              </w:rPr>
              <w:t>浦银安盛消费升级灵活配置混合型证券投资基金A类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19</w:t>
            </w:r>
          </w:p>
        </w:tc>
        <w:tc>
          <w:tcPr>
            <w:tcW w:w="977" w:type="dxa"/>
          </w:tcPr>
          <w:p>
            <w:pPr>
              <w:jc w:val="center"/>
              <w:rPr>
                <w:rFonts w:ascii="宋体" w:hAnsi="宋体" w:cs="宋体"/>
                <w:b/>
                <w:kern w:val="0"/>
                <w:szCs w:val="21"/>
              </w:rPr>
            </w:pPr>
            <w:r>
              <w:rPr>
                <w:rFonts w:hint="eastAsia"/>
              </w:rPr>
              <w:t>519176</w:t>
            </w:r>
          </w:p>
        </w:tc>
        <w:tc>
          <w:tcPr>
            <w:tcW w:w="4612" w:type="dxa"/>
          </w:tcPr>
          <w:p>
            <w:pPr>
              <w:rPr>
                <w:rFonts w:ascii="宋体" w:hAnsi="宋体" w:cs="宋体"/>
                <w:kern w:val="0"/>
                <w:szCs w:val="21"/>
              </w:rPr>
            </w:pPr>
            <w:r>
              <w:rPr>
                <w:rFonts w:hint="eastAsia"/>
              </w:rPr>
              <w:t>浦银安盛消费升级灵活配置混合型证券投资基金C类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20</w:t>
            </w:r>
          </w:p>
        </w:tc>
        <w:tc>
          <w:tcPr>
            <w:tcW w:w="977" w:type="dxa"/>
          </w:tcPr>
          <w:p>
            <w:pPr>
              <w:jc w:val="center"/>
              <w:rPr>
                <w:rFonts w:ascii="宋体" w:hAnsi="宋体" w:cs="宋体"/>
                <w:b/>
                <w:kern w:val="0"/>
                <w:szCs w:val="21"/>
              </w:rPr>
            </w:pPr>
            <w:r>
              <w:rPr>
                <w:rFonts w:hint="eastAsia"/>
              </w:rPr>
              <w:t>519566</w:t>
            </w:r>
          </w:p>
        </w:tc>
        <w:tc>
          <w:tcPr>
            <w:tcW w:w="4612" w:type="dxa"/>
          </w:tcPr>
          <w:p>
            <w:pPr>
              <w:rPr>
                <w:rFonts w:ascii="宋体" w:hAnsi="宋体" w:cs="宋体"/>
                <w:kern w:val="0"/>
                <w:szCs w:val="21"/>
              </w:rPr>
            </w:pPr>
            <w:r>
              <w:rPr>
                <w:rFonts w:hint="eastAsia"/>
              </w:rPr>
              <w:t>浦银安盛日日盈货币市场基金A类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21</w:t>
            </w:r>
          </w:p>
        </w:tc>
        <w:tc>
          <w:tcPr>
            <w:tcW w:w="977" w:type="dxa"/>
          </w:tcPr>
          <w:p>
            <w:pPr>
              <w:jc w:val="center"/>
              <w:rPr>
                <w:rFonts w:ascii="宋体" w:hAnsi="宋体" w:cs="宋体"/>
                <w:b/>
                <w:kern w:val="0"/>
                <w:szCs w:val="21"/>
              </w:rPr>
            </w:pPr>
            <w:r>
              <w:rPr>
                <w:rFonts w:hint="eastAsia"/>
              </w:rPr>
              <w:t>519567</w:t>
            </w:r>
          </w:p>
        </w:tc>
        <w:tc>
          <w:tcPr>
            <w:tcW w:w="4612" w:type="dxa"/>
          </w:tcPr>
          <w:p>
            <w:pPr>
              <w:rPr>
                <w:rFonts w:ascii="宋体" w:hAnsi="宋体" w:cs="宋体"/>
                <w:kern w:val="0"/>
                <w:szCs w:val="21"/>
              </w:rPr>
            </w:pPr>
            <w:r>
              <w:rPr>
                <w:rFonts w:hint="eastAsia"/>
              </w:rPr>
              <w:t>浦银安盛日日盈货币市场基金B类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22</w:t>
            </w:r>
          </w:p>
        </w:tc>
        <w:tc>
          <w:tcPr>
            <w:tcW w:w="977" w:type="dxa"/>
          </w:tcPr>
          <w:p>
            <w:pPr>
              <w:jc w:val="center"/>
              <w:rPr>
                <w:rFonts w:ascii="宋体" w:hAnsi="宋体" w:cs="宋体"/>
                <w:b/>
                <w:kern w:val="0"/>
                <w:szCs w:val="21"/>
              </w:rPr>
            </w:pPr>
            <w:r>
              <w:rPr>
                <w:rFonts w:hint="eastAsia"/>
              </w:rPr>
              <w:t>519126</w:t>
            </w:r>
          </w:p>
        </w:tc>
        <w:tc>
          <w:tcPr>
            <w:tcW w:w="4612" w:type="dxa"/>
          </w:tcPr>
          <w:p>
            <w:pPr>
              <w:rPr>
                <w:rFonts w:ascii="宋体" w:hAnsi="宋体" w:cs="宋体"/>
                <w:kern w:val="0"/>
                <w:szCs w:val="21"/>
              </w:rPr>
            </w:pPr>
            <w:r>
              <w:rPr>
                <w:rFonts w:hint="eastAsia"/>
              </w:rPr>
              <w:t>浦银安盛新经济结构灵活配置混合型证券投资基金</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23</w:t>
            </w:r>
          </w:p>
        </w:tc>
        <w:tc>
          <w:tcPr>
            <w:tcW w:w="977" w:type="dxa"/>
          </w:tcPr>
          <w:p>
            <w:pPr>
              <w:jc w:val="center"/>
              <w:rPr>
                <w:rFonts w:ascii="宋体" w:hAnsi="宋体" w:cs="宋体"/>
                <w:b/>
                <w:kern w:val="0"/>
                <w:szCs w:val="21"/>
              </w:rPr>
            </w:pPr>
            <w:r>
              <w:rPr>
                <w:rFonts w:hint="eastAsia"/>
              </w:rPr>
              <w:t>519127</w:t>
            </w:r>
          </w:p>
        </w:tc>
        <w:tc>
          <w:tcPr>
            <w:tcW w:w="4612" w:type="dxa"/>
          </w:tcPr>
          <w:p>
            <w:pPr>
              <w:rPr>
                <w:rFonts w:ascii="宋体" w:hAnsi="宋体" w:cs="宋体"/>
                <w:kern w:val="0"/>
                <w:szCs w:val="21"/>
              </w:rPr>
            </w:pPr>
            <w:r>
              <w:rPr>
                <w:rFonts w:hint="eastAsia"/>
              </w:rPr>
              <w:t>浦银安盛盛世精选灵活配置混合型证券投资基金A类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24</w:t>
            </w:r>
          </w:p>
        </w:tc>
        <w:tc>
          <w:tcPr>
            <w:tcW w:w="977" w:type="dxa"/>
          </w:tcPr>
          <w:p>
            <w:pPr>
              <w:jc w:val="center"/>
              <w:rPr>
                <w:rFonts w:ascii="宋体" w:hAnsi="宋体" w:cs="宋体"/>
                <w:b/>
                <w:kern w:val="0"/>
                <w:szCs w:val="21"/>
              </w:rPr>
            </w:pPr>
            <w:r>
              <w:rPr>
                <w:rFonts w:hint="eastAsia"/>
              </w:rPr>
              <w:t>519177</w:t>
            </w:r>
          </w:p>
        </w:tc>
        <w:tc>
          <w:tcPr>
            <w:tcW w:w="4612" w:type="dxa"/>
          </w:tcPr>
          <w:p>
            <w:pPr>
              <w:rPr>
                <w:rFonts w:ascii="宋体" w:hAnsi="宋体" w:cs="宋体"/>
                <w:kern w:val="0"/>
                <w:szCs w:val="21"/>
              </w:rPr>
            </w:pPr>
            <w:r>
              <w:rPr>
                <w:rFonts w:hint="eastAsia"/>
              </w:rPr>
              <w:t>浦银安盛盛世精选灵活配置混合型证券投资基金C类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25</w:t>
            </w:r>
          </w:p>
        </w:tc>
        <w:tc>
          <w:tcPr>
            <w:tcW w:w="977" w:type="dxa"/>
          </w:tcPr>
          <w:p>
            <w:pPr>
              <w:jc w:val="center"/>
              <w:rPr>
                <w:rFonts w:ascii="宋体" w:hAnsi="宋体" w:cs="宋体"/>
                <w:b/>
                <w:kern w:val="0"/>
                <w:szCs w:val="21"/>
              </w:rPr>
            </w:pPr>
            <w:r>
              <w:rPr>
                <w:rFonts w:hint="eastAsia"/>
              </w:rPr>
              <w:t>519128</w:t>
            </w:r>
          </w:p>
        </w:tc>
        <w:tc>
          <w:tcPr>
            <w:tcW w:w="4612" w:type="dxa"/>
          </w:tcPr>
          <w:p>
            <w:pPr>
              <w:rPr>
                <w:rFonts w:ascii="宋体" w:hAnsi="宋体" w:cs="宋体"/>
                <w:kern w:val="0"/>
                <w:szCs w:val="21"/>
              </w:rPr>
            </w:pPr>
            <w:r>
              <w:rPr>
                <w:rFonts w:hint="eastAsia"/>
              </w:rPr>
              <w:t>浦银安盛月月盈安心养老定期支付债券型证券投资基金A类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26</w:t>
            </w:r>
          </w:p>
        </w:tc>
        <w:tc>
          <w:tcPr>
            <w:tcW w:w="977" w:type="dxa"/>
          </w:tcPr>
          <w:p>
            <w:pPr>
              <w:jc w:val="center"/>
              <w:rPr>
                <w:rFonts w:ascii="宋体" w:hAnsi="宋体" w:cs="宋体"/>
                <w:b/>
                <w:kern w:val="0"/>
                <w:szCs w:val="21"/>
              </w:rPr>
            </w:pPr>
            <w:r>
              <w:rPr>
                <w:rFonts w:hint="eastAsia"/>
              </w:rPr>
              <w:t>519129</w:t>
            </w:r>
          </w:p>
        </w:tc>
        <w:tc>
          <w:tcPr>
            <w:tcW w:w="4612" w:type="dxa"/>
          </w:tcPr>
          <w:p>
            <w:pPr>
              <w:rPr>
                <w:rFonts w:ascii="宋体" w:hAnsi="宋体" w:cs="宋体"/>
                <w:kern w:val="0"/>
                <w:szCs w:val="21"/>
              </w:rPr>
            </w:pPr>
            <w:r>
              <w:rPr>
                <w:rFonts w:hint="eastAsia"/>
              </w:rPr>
              <w:t>浦银安盛月月盈安心养老定期支付债券型证券投资基金C类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27</w:t>
            </w:r>
          </w:p>
        </w:tc>
        <w:tc>
          <w:tcPr>
            <w:tcW w:w="977" w:type="dxa"/>
          </w:tcPr>
          <w:p>
            <w:pPr>
              <w:jc w:val="center"/>
              <w:rPr>
                <w:rFonts w:ascii="宋体" w:hAnsi="宋体" w:cs="宋体"/>
                <w:b/>
                <w:kern w:val="0"/>
                <w:szCs w:val="21"/>
              </w:rPr>
            </w:pPr>
            <w:r>
              <w:rPr>
                <w:rFonts w:hint="eastAsia"/>
              </w:rPr>
              <w:t>519170</w:t>
            </w:r>
          </w:p>
        </w:tc>
        <w:tc>
          <w:tcPr>
            <w:tcW w:w="4612" w:type="dxa"/>
          </w:tcPr>
          <w:p>
            <w:pPr>
              <w:rPr>
                <w:rFonts w:ascii="宋体" w:hAnsi="宋体" w:cs="宋体"/>
                <w:kern w:val="0"/>
                <w:szCs w:val="21"/>
              </w:rPr>
            </w:pPr>
            <w:r>
              <w:rPr>
                <w:rFonts w:hint="eastAsia"/>
              </w:rPr>
              <w:t>浦银安盛增长动力灵活配置混合型证券投资基金</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28</w:t>
            </w:r>
          </w:p>
        </w:tc>
        <w:tc>
          <w:tcPr>
            <w:tcW w:w="977" w:type="dxa"/>
          </w:tcPr>
          <w:p>
            <w:pPr>
              <w:jc w:val="center"/>
              <w:rPr>
                <w:rFonts w:ascii="宋体" w:hAnsi="宋体" w:cs="宋体"/>
                <w:b/>
                <w:kern w:val="0"/>
                <w:szCs w:val="21"/>
              </w:rPr>
            </w:pPr>
            <w:r>
              <w:rPr>
                <w:rFonts w:hint="eastAsia"/>
              </w:rPr>
              <w:t>519171</w:t>
            </w:r>
          </w:p>
        </w:tc>
        <w:tc>
          <w:tcPr>
            <w:tcW w:w="4612" w:type="dxa"/>
          </w:tcPr>
          <w:p>
            <w:pPr>
              <w:rPr>
                <w:rFonts w:ascii="宋体" w:hAnsi="宋体" w:cs="宋体"/>
                <w:kern w:val="0"/>
                <w:szCs w:val="21"/>
              </w:rPr>
            </w:pPr>
            <w:r>
              <w:rPr>
                <w:rFonts w:hint="eastAsia"/>
              </w:rPr>
              <w:t>浦银安盛医疗健康灵活配置混合型证券投资基金</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29</w:t>
            </w:r>
          </w:p>
        </w:tc>
        <w:tc>
          <w:tcPr>
            <w:tcW w:w="977" w:type="dxa"/>
          </w:tcPr>
          <w:p>
            <w:pPr>
              <w:jc w:val="center"/>
              <w:rPr>
                <w:rFonts w:ascii="宋体" w:hAnsi="宋体" w:cs="宋体"/>
                <w:b/>
                <w:kern w:val="0"/>
                <w:szCs w:val="21"/>
              </w:rPr>
            </w:pPr>
            <w:r>
              <w:rPr>
                <w:rFonts w:hint="eastAsia"/>
              </w:rPr>
              <w:t>519172</w:t>
            </w:r>
          </w:p>
        </w:tc>
        <w:tc>
          <w:tcPr>
            <w:tcW w:w="4612" w:type="dxa"/>
          </w:tcPr>
          <w:p>
            <w:pPr>
              <w:rPr>
                <w:rFonts w:ascii="宋体" w:hAnsi="宋体" w:cs="宋体"/>
                <w:kern w:val="0"/>
                <w:szCs w:val="21"/>
              </w:rPr>
            </w:pPr>
            <w:r>
              <w:rPr>
                <w:rFonts w:hint="eastAsia"/>
              </w:rPr>
              <w:t>浦银安盛睿智精选灵活配置混合型证券投资基金A类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30</w:t>
            </w:r>
          </w:p>
        </w:tc>
        <w:tc>
          <w:tcPr>
            <w:tcW w:w="977" w:type="dxa"/>
          </w:tcPr>
          <w:p>
            <w:pPr>
              <w:jc w:val="center"/>
              <w:rPr>
                <w:rFonts w:ascii="宋体" w:hAnsi="宋体" w:cs="宋体"/>
                <w:b/>
                <w:kern w:val="0"/>
                <w:szCs w:val="21"/>
              </w:rPr>
            </w:pPr>
            <w:r>
              <w:rPr>
                <w:rFonts w:hint="eastAsia"/>
              </w:rPr>
              <w:t>519173</w:t>
            </w:r>
          </w:p>
        </w:tc>
        <w:tc>
          <w:tcPr>
            <w:tcW w:w="4612" w:type="dxa"/>
          </w:tcPr>
          <w:p>
            <w:pPr>
              <w:rPr>
                <w:rFonts w:ascii="宋体" w:hAnsi="宋体" w:cs="宋体"/>
                <w:kern w:val="0"/>
                <w:szCs w:val="21"/>
              </w:rPr>
            </w:pPr>
            <w:r>
              <w:rPr>
                <w:rFonts w:hint="eastAsia"/>
              </w:rPr>
              <w:t>浦银安盛睿智精选灵活配置混合型证券投资基金C类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31</w:t>
            </w:r>
          </w:p>
        </w:tc>
        <w:tc>
          <w:tcPr>
            <w:tcW w:w="977" w:type="dxa"/>
          </w:tcPr>
          <w:p>
            <w:pPr>
              <w:jc w:val="center"/>
              <w:rPr>
                <w:rFonts w:ascii="宋体" w:hAnsi="宋体" w:cs="宋体"/>
                <w:b/>
                <w:kern w:val="0"/>
                <w:szCs w:val="21"/>
              </w:rPr>
            </w:pPr>
            <w:r>
              <w:rPr>
                <w:rFonts w:hint="eastAsia"/>
              </w:rPr>
              <w:t>519175</w:t>
            </w:r>
          </w:p>
        </w:tc>
        <w:tc>
          <w:tcPr>
            <w:tcW w:w="4612" w:type="dxa"/>
          </w:tcPr>
          <w:p>
            <w:pPr>
              <w:rPr>
                <w:rFonts w:ascii="宋体" w:hAnsi="宋体" w:cs="宋体"/>
                <w:kern w:val="0"/>
                <w:szCs w:val="21"/>
              </w:rPr>
            </w:pPr>
            <w:r>
              <w:rPr>
                <w:rFonts w:hint="eastAsia"/>
              </w:rPr>
              <w:t>浦银安盛经济带崛起灵活配置混合型证券投资基金</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32</w:t>
            </w:r>
          </w:p>
        </w:tc>
        <w:tc>
          <w:tcPr>
            <w:tcW w:w="977" w:type="dxa"/>
          </w:tcPr>
          <w:p>
            <w:pPr>
              <w:jc w:val="center"/>
              <w:rPr>
                <w:rFonts w:ascii="宋体" w:hAnsi="宋体" w:cs="宋体"/>
                <w:b/>
                <w:kern w:val="0"/>
                <w:szCs w:val="21"/>
              </w:rPr>
            </w:pPr>
            <w:r>
              <w:rPr>
                <w:rFonts w:hint="eastAsia"/>
              </w:rPr>
              <w:t>519320</w:t>
            </w:r>
          </w:p>
        </w:tc>
        <w:tc>
          <w:tcPr>
            <w:tcW w:w="4612" w:type="dxa"/>
          </w:tcPr>
          <w:p>
            <w:pPr>
              <w:rPr>
                <w:rFonts w:ascii="宋体" w:hAnsi="宋体" w:cs="宋体"/>
                <w:kern w:val="0"/>
                <w:szCs w:val="21"/>
              </w:rPr>
            </w:pPr>
            <w:r>
              <w:rPr>
                <w:rFonts w:hint="eastAsia"/>
              </w:rPr>
              <w:t>浦银安盛幸福聚利定期开放债券型证券投资基金A类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33</w:t>
            </w:r>
          </w:p>
        </w:tc>
        <w:tc>
          <w:tcPr>
            <w:tcW w:w="977" w:type="dxa"/>
          </w:tcPr>
          <w:p>
            <w:pPr>
              <w:jc w:val="center"/>
              <w:rPr>
                <w:rFonts w:ascii="宋体" w:hAnsi="宋体" w:cs="宋体"/>
                <w:b/>
                <w:kern w:val="0"/>
                <w:szCs w:val="21"/>
              </w:rPr>
            </w:pPr>
            <w:r>
              <w:rPr>
                <w:rFonts w:hint="eastAsia"/>
              </w:rPr>
              <w:t>519321</w:t>
            </w:r>
          </w:p>
        </w:tc>
        <w:tc>
          <w:tcPr>
            <w:tcW w:w="4612" w:type="dxa"/>
          </w:tcPr>
          <w:p>
            <w:pPr>
              <w:rPr>
                <w:rFonts w:ascii="宋体" w:hAnsi="宋体" w:cs="宋体"/>
                <w:kern w:val="0"/>
                <w:szCs w:val="21"/>
              </w:rPr>
            </w:pPr>
            <w:r>
              <w:rPr>
                <w:rFonts w:hint="eastAsia"/>
              </w:rPr>
              <w:t>浦银安盛幸福聚利定期开放债券型证券投资基金C类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34</w:t>
            </w:r>
          </w:p>
        </w:tc>
        <w:tc>
          <w:tcPr>
            <w:tcW w:w="977" w:type="dxa"/>
          </w:tcPr>
          <w:p>
            <w:pPr>
              <w:jc w:val="center"/>
              <w:rPr>
                <w:rFonts w:ascii="宋体" w:hAnsi="宋体" w:cs="宋体"/>
                <w:b/>
                <w:kern w:val="0"/>
                <w:szCs w:val="21"/>
              </w:rPr>
            </w:pPr>
            <w:r>
              <w:rPr>
                <w:rFonts w:hint="eastAsia"/>
              </w:rPr>
              <w:t>519326</w:t>
            </w:r>
          </w:p>
        </w:tc>
        <w:tc>
          <w:tcPr>
            <w:tcW w:w="4612" w:type="dxa"/>
          </w:tcPr>
          <w:p>
            <w:pPr>
              <w:rPr>
                <w:rFonts w:ascii="宋体" w:hAnsi="宋体" w:cs="宋体"/>
                <w:kern w:val="0"/>
                <w:szCs w:val="21"/>
              </w:rPr>
            </w:pPr>
            <w:r>
              <w:rPr>
                <w:rFonts w:hint="eastAsia"/>
              </w:rPr>
              <w:t>浦银安盛幸福聚益18个月定期开放债券型证券投资基金A类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35</w:t>
            </w:r>
          </w:p>
        </w:tc>
        <w:tc>
          <w:tcPr>
            <w:tcW w:w="977" w:type="dxa"/>
          </w:tcPr>
          <w:p>
            <w:pPr>
              <w:jc w:val="center"/>
              <w:rPr>
                <w:rFonts w:ascii="宋体" w:hAnsi="宋体" w:cs="宋体"/>
                <w:b/>
                <w:kern w:val="0"/>
                <w:szCs w:val="21"/>
              </w:rPr>
            </w:pPr>
            <w:r>
              <w:rPr>
                <w:rFonts w:hint="eastAsia"/>
              </w:rPr>
              <w:t>519327</w:t>
            </w:r>
          </w:p>
        </w:tc>
        <w:tc>
          <w:tcPr>
            <w:tcW w:w="4612" w:type="dxa"/>
          </w:tcPr>
          <w:p>
            <w:pPr>
              <w:rPr>
                <w:rFonts w:ascii="宋体" w:hAnsi="宋体" w:cs="宋体"/>
                <w:kern w:val="0"/>
                <w:szCs w:val="21"/>
              </w:rPr>
            </w:pPr>
            <w:r>
              <w:rPr>
                <w:rFonts w:hint="eastAsia"/>
              </w:rPr>
              <w:t>浦银安盛幸福聚益18个月定期开放债券型证券投资基金C类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36</w:t>
            </w:r>
          </w:p>
        </w:tc>
        <w:tc>
          <w:tcPr>
            <w:tcW w:w="977" w:type="dxa"/>
          </w:tcPr>
          <w:p>
            <w:pPr>
              <w:jc w:val="center"/>
              <w:rPr>
                <w:rFonts w:ascii="宋体" w:hAnsi="宋体" w:cs="宋体"/>
                <w:b/>
                <w:kern w:val="0"/>
                <w:szCs w:val="21"/>
              </w:rPr>
            </w:pPr>
            <w:r>
              <w:rPr>
                <w:rFonts w:hint="eastAsia"/>
              </w:rPr>
              <w:t>003534</w:t>
            </w:r>
          </w:p>
        </w:tc>
        <w:tc>
          <w:tcPr>
            <w:tcW w:w="4612" w:type="dxa"/>
          </w:tcPr>
          <w:p>
            <w:pPr>
              <w:rPr>
                <w:rFonts w:ascii="宋体" w:hAnsi="宋体" w:cs="宋体"/>
                <w:kern w:val="0"/>
                <w:szCs w:val="21"/>
              </w:rPr>
            </w:pPr>
            <w:r>
              <w:rPr>
                <w:rFonts w:hint="eastAsia"/>
              </w:rPr>
              <w:t>浦银安盛日日丰货币市场基金A类</w:t>
            </w:r>
          </w:p>
        </w:tc>
        <w:tc>
          <w:tcPr>
            <w:tcW w:w="1058"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37</w:t>
            </w:r>
          </w:p>
        </w:tc>
        <w:tc>
          <w:tcPr>
            <w:tcW w:w="977" w:type="dxa"/>
          </w:tcPr>
          <w:p>
            <w:pPr>
              <w:jc w:val="center"/>
              <w:rPr>
                <w:rFonts w:ascii="宋体" w:hAnsi="宋体" w:cs="宋体"/>
                <w:b/>
                <w:kern w:val="0"/>
                <w:szCs w:val="21"/>
              </w:rPr>
            </w:pPr>
            <w:r>
              <w:rPr>
                <w:rFonts w:hint="eastAsia"/>
              </w:rPr>
              <w:t>003535</w:t>
            </w:r>
          </w:p>
        </w:tc>
        <w:tc>
          <w:tcPr>
            <w:tcW w:w="4612" w:type="dxa"/>
          </w:tcPr>
          <w:p>
            <w:pPr>
              <w:rPr>
                <w:rFonts w:ascii="宋体" w:hAnsi="宋体" w:cs="宋体"/>
                <w:kern w:val="0"/>
                <w:szCs w:val="21"/>
              </w:rPr>
            </w:pPr>
            <w:r>
              <w:rPr>
                <w:rFonts w:hint="eastAsia"/>
              </w:rPr>
              <w:t>浦银安盛日日丰货币市场基金B类</w:t>
            </w:r>
          </w:p>
        </w:tc>
        <w:tc>
          <w:tcPr>
            <w:tcW w:w="1058"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38</w:t>
            </w:r>
          </w:p>
        </w:tc>
        <w:tc>
          <w:tcPr>
            <w:tcW w:w="977" w:type="dxa"/>
          </w:tcPr>
          <w:p>
            <w:pPr>
              <w:jc w:val="center"/>
              <w:rPr>
                <w:rFonts w:ascii="宋体" w:hAnsi="宋体" w:cs="宋体"/>
                <w:b/>
                <w:kern w:val="0"/>
                <w:szCs w:val="21"/>
              </w:rPr>
            </w:pPr>
            <w:r>
              <w:rPr>
                <w:rFonts w:hint="eastAsia"/>
              </w:rPr>
              <w:t>004276</w:t>
            </w:r>
          </w:p>
        </w:tc>
        <w:tc>
          <w:tcPr>
            <w:tcW w:w="4612" w:type="dxa"/>
          </w:tcPr>
          <w:p>
            <w:pPr>
              <w:rPr>
                <w:rFonts w:ascii="宋体" w:hAnsi="宋体" w:cs="宋体"/>
                <w:kern w:val="0"/>
                <w:szCs w:val="21"/>
              </w:rPr>
            </w:pPr>
            <w:r>
              <w:rPr>
                <w:rFonts w:hint="eastAsia"/>
              </w:rPr>
              <w:t>浦银安盛安和回报定期开放混合型证券投资基金A类</w:t>
            </w:r>
          </w:p>
        </w:tc>
        <w:tc>
          <w:tcPr>
            <w:tcW w:w="1058"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39</w:t>
            </w:r>
          </w:p>
        </w:tc>
        <w:tc>
          <w:tcPr>
            <w:tcW w:w="977" w:type="dxa"/>
          </w:tcPr>
          <w:p>
            <w:pPr>
              <w:jc w:val="center"/>
              <w:rPr>
                <w:rFonts w:ascii="宋体" w:hAnsi="宋体" w:cs="宋体"/>
                <w:b/>
                <w:kern w:val="0"/>
                <w:szCs w:val="21"/>
              </w:rPr>
            </w:pPr>
            <w:r>
              <w:rPr>
                <w:rFonts w:hint="eastAsia"/>
              </w:rPr>
              <w:t>004277</w:t>
            </w:r>
          </w:p>
        </w:tc>
        <w:tc>
          <w:tcPr>
            <w:tcW w:w="4612" w:type="dxa"/>
          </w:tcPr>
          <w:p>
            <w:pPr>
              <w:rPr>
                <w:rFonts w:ascii="宋体" w:hAnsi="宋体" w:cs="宋体"/>
                <w:kern w:val="0"/>
                <w:szCs w:val="21"/>
              </w:rPr>
            </w:pPr>
            <w:r>
              <w:rPr>
                <w:rFonts w:hint="eastAsia"/>
              </w:rPr>
              <w:t>浦银安盛安和回报定期开放混合型证券投资基金C类</w:t>
            </w:r>
          </w:p>
        </w:tc>
        <w:tc>
          <w:tcPr>
            <w:tcW w:w="1058"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40</w:t>
            </w:r>
          </w:p>
        </w:tc>
        <w:tc>
          <w:tcPr>
            <w:tcW w:w="977" w:type="dxa"/>
          </w:tcPr>
          <w:p>
            <w:pPr>
              <w:jc w:val="center"/>
              <w:rPr>
                <w:rFonts w:ascii="宋体" w:hAnsi="宋体" w:cs="宋体"/>
                <w:b/>
                <w:kern w:val="0"/>
                <w:szCs w:val="21"/>
              </w:rPr>
            </w:pPr>
            <w:r>
              <w:rPr>
                <w:rFonts w:hint="eastAsia"/>
              </w:rPr>
              <w:t>166402</w:t>
            </w:r>
          </w:p>
        </w:tc>
        <w:tc>
          <w:tcPr>
            <w:tcW w:w="4612" w:type="dxa"/>
          </w:tcPr>
          <w:p>
            <w:pPr>
              <w:rPr>
                <w:rFonts w:ascii="宋体" w:hAnsi="宋体" w:cs="宋体"/>
                <w:kern w:val="0"/>
                <w:szCs w:val="21"/>
              </w:rPr>
            </w:pPr>
            <w:r>
              <w:rPr>
                <w:rFonts w:hint="eastAsia"/>
              </w:rPr>
              <w:t>浦银安盛中证锐联沪港深基本面100指数证券投资基金（LOF）</w:t>
            </w:r>
          </w:p>
        </w:tc>
        <w:tc>
          <w:tcPr>
            <w:tcW w:w="1058"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ascii="宋体" w:hAnsi="宋体" w:cs="宋体"/>
                <w:b/>
                <w:kern w:val="0"/>
                <w:szCs w:val="21"/>
              </w:rPr>
            </w:pPr>
            <w:r>
              <w:rPr>
                <w:rFonts w:hint="eastAsia"/>
                <w:b/>
                <w:color w:val="000000"/>
              </w:rPr>
              <w:t>41</w:t>
            </w:r>
          </w:p>
        </w:tc>
        <w:tc>
          <w:tcPr>
            <w:tcW w:w="977" w:type="dxa"/>
          </w:tcPr>
          <w:p>
            <w:pPr>
              <w:jc w:val="center"/>
              <w:rPr>
                <w:rFonts w:ascii="宋体" w:hAnsi="宋体" w:cs="宋体"/>
                <w:b/>
                <w:kern w:val="0"/>
                <w:szCs w:val="21"/>
              </w:rPr>
            </w:pPr>
            <w:r>
              <w:rPr>
                <w:rFonts w:hint="eastAsia"/>
              </w:rPr>
              <w:t>005255</w:t>
            </w:r>
          </w:p>
        </w:tc>
        <w:tc>
          <w:tcPr>
            <w:tcW w:w="4612" w:type="dxa"/>
          </w:tcPr>
          <w:p>
            <w:pPr>
              <w:rPr>
                <w:rFonts w:ascii="宋体" w:hAnsi="宋体" w:cs="宋体"/>
                <w:kern w:val="0"/>
                <w:szCs w:val="21"/>
              </w:rPr>
            </w:pPr>
            <w:r>
              <w:rPr>
                <w:rFonts w:hint="eastAsia"/>
              </w:rPr>
              <w:t>浦银安盛港股通量化优选灵活配置混合型证券投资基金</w:t>
            </w:r>
          </w:p>
        </w:tc>
        <w:tc>
          <w:tcPr>
            <w:tcW w:w="1058"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b/>
                <w:color w:val="000000"/>
              </w:rPr>
            </w:pPr>
            <w:r>
              <w:rPr>
                <w:rFonts w:hint="eastAsia"/>
                <w:b/>
                <w:color w:val="000000"/>
              </w:rPr>
              <w:t>42</w:t>
            </w:r>
          </w:p>
        </w:tc>
        <w:tc>
          <w:tcPr>
            <w:tcW w:w="977" w:type="dxa"/>
          </w:tcPr>
          <w:p>
            <w:pPr>
              <w:jc w:val="center"/>
            </w:pPr>
            <w:r>
              <w:rPr>
                <w:rFonts w:hint="eastAsia"/>
              </w:rPr>
              <w:t>004801</w:t>
            </w:r>
          </w:p>
        </w:tc>
        <w:tc>
          <w:tcPr>
            <w:tcW w:w="4612" w:type="dxa"/>
          </w:tcPr>
          <w:p>
            <w:r>
              <w:rPr>
                <w:rFonts w:hint="eastAsia"/>
              </w:rPr>
              <w:t>浦银安盛安久回报定期开放混合型证券投资基金A类</w:t>
            </w:r>
          </w:p>
        </w:tc>
        <w:tc>
          <w:tcPr>
            <w:tcW w:w="1058"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b/>
                <w:color w:val="000000"/>
              </w:rPr>
            </w:pPr>
            <w:r>
              <w:rPr>
                <w:rFonts w:hint="eastAsia"/>
                <w:b/>
                <w:color w:val="000000"/>
              </w:rPr>
              <w:t>43</w:t>
            </w:r>
          </w:p>
        </w:tc>
        <w:tc>
          <w:tcPr>
            <w:tcW w:w="977" w:type="dxa"/>
          </w:tcPr>
          <w:p>
            <w:pPr>
              <w:jc w:val="center"/>
            </w:pPr>
            <w:r>
              <w:rPr>
                <w:rFonts w:hint="eastAsia"/>
              </w:rPr>
              <w:t>004802</w:t>
            </w:r>
          </w:p>
        </w:tc>
        <w:tc>
          <w:tcPr>
            <w:tcW w:w="4612" w:type="dxa"/>
          </w:tcPr>
          <w:p>
            <w:r>
              <w:rPr>
                <w:rFonts w:hint="eastAsia"/>
              </w:rPr>
              <w:t>浦银安盛安久回报定期开放混合型证券投资基金C类</w:t>
            </w:r>
          </w:p>
        </w:tc>
        <w:tc>
          <w:tcPr>
            <w:tcW w:w="1058"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b/>
                <w:color w:val="000000"/>
              </w:rPr>
            </w:pPr>
            <w:r>
              <w:rPr>
                <w:rFonts w:hint="eastAsia"/>
                <w:b/>
                <w:color w:val="000000"/>
              </w:rPr>
              <w:t>44</w:t>
            </w:r>
          </w:p>
        </w:tc>
        <w:tc>
          <w:tcPr>
            <w:tcW w:w="977" w:type="dxa"/>
          </w:tcPr>
          <w:p>
            <w:pPr>
              <w:jc w:val="center"/>
            </w:pPr>
            <w:r>
              <w:rPr>
                <w:rFonts w:hint="eastAsia"/>
              </w:rPr>
              <w:t>004274</w:t>
            </w:r>
          </w:p>
        </w:tc>
        <w:tc>
          <w:tcPr>
            <w:tcW w:w="4612" w:type="dxa"/>
          </w:tcPr>
          <w:p>
            <w:r>
              <w:rPr>
                <w:rFonts w:hint="eastAsia"/>
              </w:rPr>
              <w:t>浦银安盛安恒回报定期开放混合型证券投资基金A类</w:t>
            </w:r>
          </w:p>
        </w:tc>
        <w:tc>
          <w:tcPr>
            <w:tcW w:w="1058"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b/>
                <w:color w:val="000000"/>
              </w:rPr>
            </w:pPr>
            <w:r>
              <w:rPr>
                <w:rFonts w:hint="eastAsia"/>
                <w:b/>
                <w:color w:val="000000"/>
              </w:rPr>
              <w:t>45</w:t>
            </w:r>
          </w:p>
        </w:tc>
        <w:tc>
          <w:tcPr>
            <w:tcW w:w="977" w:type="dxa"/>
          </w:tcPr>
          <w:p>
            <w:pPr>
              <w:jc w:val="center"/>
            </w:pPr>
            <w:r>
              <w:rPr>
                <w:rFonts w:hint="eastAsia"/>
              </w:rPr>
              <w:t>004275</w:t>
            </w:r>
          </w:p>
        </w:tc>
        <w:tc>
          <w:tcPr>
            <w:tcW w:w="4612" w:type="dxa"/>
          </w:tcPr>
          <w:p>
            <w:r>
              <w:rPr>
                <w:rFonts w:hint="eastAsia"/>
              </w:rPr>
              <w:t>浦银安盛安恒回报定期开放混合型证券投资基金C类</w:t>
            </w:r>
          </w:p>
        </w:tc>
        <w:tc>
          <w:tcPr>
            <w:tcW w:w="1058"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b/>
                <w:color w:val="000000"/>
              </w:rPr>
            </w:pPr>
            <w:r>
              <w:rPr>
                <w:rFonts w:hint="eastAsia"/>
                <w:b/>
                <w:color w:val="000000"/>
              </w:rPr>
              <w:t>46</w:t>
            </w:r>
          </w:p>
        </w:tc>
        <w:tc>
          <w:tcPr>
            <w:tcW w:w="977" w:type="dxa"/>
          </w:tcPr>
          <w:p>
            <w:pPr>
              <w:jc w:val="center"/>
            </w:pPr>
            <w:r>
              <w:rPr>
                <w:rFonts w:hint="eastAsia"/>
              </w:rPr>
              <w:t>003228</w:t>
            </w:r>
          </w:p>
        </w:tc>
        <w:tc>
          <w:tcPr>
            <w:tcW w:w="4612" w:type="dxa"/>
          </w:tcPr>
          <w:p>
            <w:r>
              <w:rPr>
                <w:rFonts w:hint="eastAsia"/>
              </w:rPr>
              <w:t>浦银安盛日日鑫货币市场基金A类</w:t>
            </w:r>
          </w:p>
        </w:tc>
        <w:tc>
          <w:tcPr>
            <w:tcW w:w="1058"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b/>
                <w:color w:val="000000"/>
              </w:rPr>
            </w:pPr>
            <w:r>
              <w:rPr>
                <w:rFonts w:hint="eastAsia"/>
                <w:b/>
                <w:color w:val="000000"/>
              </w:rPr>
              <w:t>47</w:t>
            </w:r>
          </w:p>
        </w:tc>
        <w:tc>
          <w:tcPr>
            <w:tcW w:w="977" w:type="dxa"/>
          </w:tcPr>
          <w:p>
            <w:pPr>
              <w:jc w:val="center"/>
            </w:pPr>
            <w:r>
              <w:rPr>
                <w:rFonts w:hint="eastAsia"/>
              </w:rPr>
              <w:t>003229</w:t>
            </w:r>
          </w:p>
        </w:tc>
        <w:tc>
          <w:tcPr>
            <w:tcW w:w="4612" w:type="dxa"/>
          </w:tcPr>
          <w:p>
            <w:pPr>
              <w:rPr>
                <w:rFonts w:ascii="宋体" w:hAnsi="宋体" w:cs="宋体"/>
                <w:kern w:val="0"/>
                <w:szCs w:val="21"/>
              </w:rPr>
            </w:pPr>
            <w:r>
              <w:rPr>
                <w:rFonts w:hint="eastAsia" w:ascii="宋体" w:hAnsi="宋体" w:cs="宋体"/>
                <w:kern w:val="0"/>
                <w:szCs w:val="21"/>
              </w:rPr>
              <w:t>浦银安盛日日鑫货币市场基金B类</w:t>
            </w:r>
          </w:p>
        </w:tc>
        <w:tc>
          <w:tcPr>
            <w:tcW w:w="1058"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vAlign w:val="center"/>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b/>
                <w:color w:val="000000"/>
              </w:rPr>
            </w:pPr>
            <w:r>
              <w:rPr>
                <w:rFonts w:hint="eastAsia"/>
                <w:b/>
                <w:color w:val="000000"/>
              </w:rPr>
              <w:t>48</w:t>
            </w:r>
          </w:p>
        </w:tc>
        <w:tc>
          <w:tcPr>
            <w:tcW w:w="977" w:type="dxa"/>
            <w:vAlign w:val="center"/>
          </w:tcPr>
          <w:p>
            <w:pPr>
              <w:jc w:val="center"/>
            </w:pPr>
            <w:r>
              <w:rPr>
                <w:rFonts w:hint="eastAsia"/>
              </w:rPr>
              <w:t>005865</w:t>
            </w:r>
          </w:p>
        </w:tc>
        <w:tc>
          <w:tcPr>
            <w:tcW w:w="4612" w:type="dxa"/>
            <w:vAlign w:val="center"/>
          </w:tcPr>
          <w:p>
            <w:pPr>
              <w:rPr>
                <w:rFonts w:hint="eastAsia" w:ascii="宋体" w:hAnsi="宋体" w:cs="宋体"/>
                <w:kern w:val="0"/>
                <w:szCs w:val="21"/>
              </w:rPr>
            </w:pPr>
            <w:r>
              <w:rPr>
                <w:rFonts w:hint="eastAsia" w:ascii="宋体" w:hAnsi="宋体" w:cs="宋体"/>
                <w:kern w:val="0"/>
                <w:szCs w:val="21"/>
              </w:rPr>
              <w:t>浦银安盛量化多策略灵活配置混合型证券投资基金A类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hint="eastAsia"/>
                <w:b/>
                <w:color w:val="000000"/>
              </w:rPr>
            </w:pPr>
            <w:r>
              <w:rPr>
                <w:rFonts w:hint="eastAsia"/>
                <w:b/>
                <w:color w:val="000000"/>
              </w:rPr>
              <w:t>49</w:t>
            </w:r>
          </w:p>
        </w:tc>
        <w:tc>
          <w:tcPr>
            <w:tcW w:w="977" w:type="dxa"/>
            <w:vAlign w:val="center"/>
          </w:tcPr>
          <w:p>
            <w:pPr>
              <w:jc w:val="center"/>
              <w:rPr>
                <w:rFonts w:hint="eastAsia"/>
              </w:rPr>
            </w:pPr>
            <w:r>
              <w:rPr>
                <w:rFonts w:hint="eastAsia"/>
              </w:rPr>
              <w:t>005866</w:t>
            </w:r>
          </w:p>
        </w:tc>
        <w:tc>
          <w:tcPr>
            <w:tcW w:w="4612" w:type="dxa"/>
            <w:vAlign w:val="center"/>
          </w:tcPr>
          <w:p>
            <w:pPr>
              <w:rPr>
                <w:rFonts w:hint="eastAsia" w:ascii="宋体" w:hAnsi="宋体" w:cs="宋体"/>
                <w:kern w:val="0"/>
                <w:szCs w:val="21"/>
              </w:rPr>
            </w:pPr>
            <w:r>
              <w:rPr>
                <w:rFonts w:hint="eastAsia" w:ascii="宋体" w:hAnsi="宋体" w:cs="宋体"/>
                <w:kern w:val="0"/>
                <w:szCs w:val="21"/>
              </w:rPr>
              <w:t>浦银安盛量化多策略灵活配置混合型证券投资基金C类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hint="eastAsia"/>
                <w:b/>
                <w:color w:val="000000"/>
              </w:rPr>
            </w:pPr>
            <w:r>
              <w:rPr>
                <w:rFonts w:hint="eastAsia"/>
                <w:b/>
                <w:color w:val="000000"/>
              </w:rPr>
              <w:t>50</w:t>
            </w:r>
          </w:p>
        </w:tc>
        <w:tc>
          <w:tcPr>
            <w:tcW w:w="977" w:type="dxa"/>
            <w:vAlign w:val="center"/>
          </w:tcPr>
          <w:p>
            <w:pPr>
              <w:jc w:val="center"/>
              <w:rPr>
                <w:rFonts w:hint="eastAsia"/>
              </w:rPr>
            </w:pPr>
            <w:r>
              <w:rPr>
                <w:rFonts w:hint="eastAsia"/>
              </w:rPr>
              <w:t xml:space="preserve">006436 </w:t>
            </w:r>
          </w:p>
        </w:tc>
        <w:tc>
          <w:tcPr>
            <w:tcW w:w="4612" w:type="dxa"/>
            <w:vAlign w:val="center"/>
          </w:tcPr>
          <w:p>
            <w:pPr>
              <w:rPr>
                <w:rFonts w:hint="eastAsia" w:ascii="宋体" w:hAnsi="宋体" w:cs="宋体"/>
                <w:kern w:val="0"/>
                <w:szCs w:val="21"/>
              </w:rPr>
            </w:pPr>
            <w:r>
              <w:rPr>
                <w:rFonts w:hint="eastAsia" w:ascii="宋体" w:hAnsi="宋体" w:cs="宋体"/>
                <w:kern w:val="0"/>
                <w:szCs w:val="21"/>
              </w:rPr>
              <w:t>浦银安盛中短债债券型证券投资基金A类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hint="eastAsia"/>
                <w:b/>
                <w:color w:val="000000"/>
              </w:rPr>
            </w:pPr>
            <w:r>
              <w:rPr>
                <w:rFonts w:hint="eastAsia"/>
                <w:b/>
                <w:color w:val="000000"/>
              </w:rPr>
              <w:t>51</w:t>
            </w:r>
          </w:p>
        </w:tc>
        <w:tc>
          <w:tcPr>
            <w:tcW w:w="977" w:type="dxa"/>
            <w:vAlign w:val="center"/>
          </w:tcPr>
          <w:p>
            <w:pPr>
              <w:jc w:val="center"/>
              <w:rPr>
                <w:rFonts w:hint="eastAsia"/>
              </w:rPr>
            </w:pPr>
            <w:r>
              <w:rPr>
                <w:rFonts w:hint="eastAsia"/>
              </w:rPr>
              <w:t>006437</w:t>
            </w:r>
          </w:p>
        </w:tc>
        <w:tc>
          <w:tcPr>
            <w:tcW w:w="4612" w:type="dxa"/>
            <w:vAlign w:val="center"/>
          </w:tcPr>
          <w:p>
            <w:pPr>
              <w:rPr>
                <w:rFonts w:hint="eastAsia" w:ascii="宋体" w:hAnsi="宋体" w:cs="宋体"/>
                <w:kern w:val="0"/>
                <w:szCs w:val="21"/>
              </w:rPr>
            </w:pPr>
            <w:r>
              <w:rPr>
                <w:rFonts w:hint="eastAsia" w:ascii="宋体" w:hAnsi="宋体" w:cs="宋体"/>
                <w:kern w:val="0"/>
                <w:szCs w:val="21"/>
              </w:rPr>
              <w:t>浦银安盛中短债债券型证券投资基金C类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hint="eastAsia"/>
                <w:b/>
                <w:color w:val="000000"/>
              </w:rPr>
            </w:pPr>
            <w:r>
              <w:rPr>
                <w:rFonts w:hint="eastAsia"/>
                <w:b/>
                <w:color w:val="000000"/>
              </w:rPr>
              <w:t>52</w:t>
            </w:r>
          </w:p>
        </w:tc>
        <w:tc>
          <w:tcPr>
            <w:tcW w:w="977" w:type="dxa"/>
            <w:vAlign w:val="center"/>
          </w:tcPr>
          <w:p>
            <w:pPr>
              <w:jc w:val="center"/>
              <w:rPr>
                <w:rFonts w:hint="eastAsia"/>
              </w:rPr>
            </w:pPr>
            <w:r>
              <w:t>00</w:t>
            </w:r>
            <w:r>
              <w:rPr>
                <w:rFonts w:hint="eastAsia"/>
              </w:rPr>
              <w:t>6555</w:t>
            </w:r>
          </w:p>
        </w:tc>
        <w:tc>
          <w:tcPr>
            <w:tcW w:w="4612" w:type="dxa"/>
            <w:vAlign w:val="center"/>
          </w:tcPr>
          <w:p>
            <w:pPr>
              <w:rPr>
                <w:rFonts w:hint="eastAsia" w:ascii="宋体" w:hAnsi="宋体" w:cs="宋体"/>
                <w:kern w:val="0"/>
                <w:szCs w:val="21"/>
              </w:rPr>
            </w:pPr>
            <w:r>
              <w:rPr>
                <w:rFonts w:hint="eastAsia" w:ascii="宋体" w:hAnsi="宋体" w:cs="宋体"/>
                <w:kern w:val="0"/>
                <w:szCs w:val="21"/>
              </w:rPr>
              <w:t>浦银安盛全球智能科技股票型证券投资基金（QDII）</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hint="eastAsia"/>
                <w:b/>
                <w:color w:val="000000"/>
              </w:rPr>
            </w:pPr>
            <w:r>
              <w:rPr>
                <w:rFonts w:hint="eastAsia"/>
                <w:b/>
                <w:color w:val="000000"/>
              </w:rPr>
              <w:t>53</w:t>
            </w:r>
          </w:p>
        </w:tc>
        <w:tc>
          <w:tcPr>
            <w:tcW w:w="977" w:type="dxa"/>
            <w:vAlign w:val="center"/>
          </w:tcPr>
          <w:p>
            <w:pPr>
              <w:jc w:val="center"/>
              <w:rPr>
                <w:rFonts w:hint="eastAsia"/>
              </w:rPr>
            </w:pPr>
            <w:r>
              <w:rPr>
                <w:rFonts w:hint="eastAsia"/>
              </w:rPr>
              <w:t xml:space="preserve">006466 </w:t>
            </w:r>
          </w:p>
        </w:tc>
        <w:tc>
          <w:tcPr>
            <w:tcW w:w="4612" w:type="dxa"/>
            <w:vAlign w:val="center"/>
          </w:tcPr>
          <w:p>
            <w:pPr>
              <w:rPr>
                <w:rFonts w:hint="eastAsia" w:ascii="宋体" w:hAnsi="宋体" w:cs="宋体"/>
                <w:kern w:val="0"/>
                <w:szCs w:val="21"/>
              </w:rPr>
            </w:pPr>
            <w:r>
              <w:rPr>
                <w:rFonts w:hint="eastAsia" w:ascii="宋体" w:hAnsi="宋体" w:cs="宋体"/>
                <w:kern w:val="0"/>
                <w:szCs w:val="21"/>
              </w:rPr>
              <w:t>浦银安盛双债增强债券型证券投资基金A类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hint="eastAsia"/>
                <w:b/>
                <w:color w:val="000000"/>
              </w:rPr>
            </w:pPr>
            <w:r>
              <w:rPr>
                <w:rFonts w:hint="eastAsia"/>
                <w:b/>
                <w:color w:val="000000"/>
              </w:rPr>
              <w:t>54</w:t>
            </w:r>
          </w:p>
        </w:tc>
        <w:tc>
          <w:tcPr>
            <w:tcW w:w="977" w:type="dxa"/>
            <w:vAlign w:val="center"/>
          </w:tcPr>
          <w:p>
            <w:pPr>
              <w:jc w:val="center"/>
              <w:rPr>
                <w:rFonts w:hint="eastAsia"/>
              </w:rPr>
            </w:pPr>
            <w:r>
              <w:rPr>
                <w:rFonts w:hint="eastAsia"/>
              </w:rPr>
              <w:t>006467</w:t>
            </w:r>
          </w:p>
        </w:tc>
        <w:tc>
          <w:tcPr>
            <w:tcW w:w="4612" w:type="dxa"/>
            <w:vAlign w:val="center"/>
          </w:tcPr>
          <w:p>
            <w:pPr>
              <w:rPr>
                <w:rFonts w:hint="eastAsia" w:ascii="宋体" w:hAnsi="宋体" w:cs="宋体"/>
                <w:kern w:val="0"/>
                <w:szCs w:val="21"/>
              </w:rPr>
            </w:pPr>
            <w:r>
              <w:rPr>
                <w:rFonts w:hint="eastAsia" w:ascii="宋体" w:hAnsi="宋体" w:cs="宋体"/>
                <w:kern w:val="0"/>
                <w:szCs w:val="21"/>
              </w:rPr>
              <w:t>浦银安盛双债增强债券型证券投资基金C类</w:t>
            </w:r>
          </w:p>
        </w:tc>
        <w:tc>
          <w:tcPr>
            <w:tcW w:w="1058"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c>
          <w:tcPr>
            <w:tcW w:w="1177" w:type="dxa"/>
          </w:tcPr>
          <w:p>
            <w:pPr>
              <w:widowControl/>
              <w:snapToGrid w:val="0"/>
              <w:spacing w:line="500" w:lineRule="exact"/>
              <w:jc w:val="center"/>
              <w:rPr>
                <w:rFonts w:ascii="宋体" w:hAnsi="宋体" w:cs="宋体"/>
                <w:b/>
                <w:kern w:val="0"/>
                <w:szCs w:val="21"/>
              </w:rPr>
            </w:pPr>
            <w:r>
              <w:rPr>
                <w:rFonts w:hint="eastAsia" w:ascii="宋体" w:hAnsi="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jc w:val="center"/>
              <w:rPr>
                <w:rFonts w:hint="eastAsia"/>
                <w:b/>
                <w:color w:val="000000"/>
              </w:rPr>
            </w:pPr>
            <w:r>
              <w:rPr>
                <w:rFonts w:hint="eastAsia"/>
                <w:b/>
                <w:color w:val="000000"/>
              </w:rPr>
              <w:t>55</w:t>
            </w:r>
          </w:p>
        </w:tc>
        <w:tc>
          <w:tcPr>
            <w:tcW w:w="977" w:type="dxa"/>
            <w:vAlign w:val="center"/>
          </w:tcPr>
          <w:p>
            <w:pPr>
              <w:jc w:val="center"/>
              <w:rPr>
                <w:rFonts w:hint="eastAsia"/>
              </w:rPr>
            </w:pPr>
            <w:r>
              <w:rPr>
                <w:rFonts w:hint="eastAsia"/>
              </w:rPr>
              <w:t>007163</w:t>
            </w:r>
          </w:p>
        </w:tc>
        <w:tc>
          <w:tcPr>
            <w:tcW w:w="4612" w:type="dxa"/>
            <w:vAlign w:val="center"/>
          </w:tcPr>
          <w:p>
            <w:pPr>
              <w:rPr>
                <w:rFonts w:hint="eastAsia" w:ascii="宋体" w:hAnsi="宋体" w:cs="宋体"/>
                <w:kern w:val="0"/>
                <w:szCs w:val="21"/>
              </w:rPr>
            </w:pPr>
            <w:r>
              <w:rPr>
                <w:rFonts w:hint="eastAsia" w:ascii="宋体" w:hAnsi="宋体" w:cs="宋体"/>
                <w:kern w:val="0"/>
                <w:szCs w:val="21"/>
              </w:rPr>
              <w:t>浦银安盛环保新能源混合型证券投资基金A类</w:t>
            </w:r>
          </w:p>
        </w:tc>
        <w:tc>
          <w:tcPr>
            <w:tcW w:w="1058" w:type="dxa"/>
            <w:vAlign w:val="center"/>
          </w:tcPr>
          <w:p>
            <w:pPr>
              <w:jc w:val="center"/>
            </w:pPr>
            <w:r>
              <w:rPr>
                <w:rFonts w:hint="eastAsia" w:ascii="宋体" w:hAnsi="宋体" w:cs="宋体"/>
                <w:b/>
                <w:kern w:val="0"/>
                <w:szCs w:val="21"/>
              </w:rPr>
              <w:t>√</w:t>
            </w:r>
          </w:p>
        </w:tc>
        <w:tc>
          <w:tcPr>
            <w:tcW w:w="1177" w:type="dxa"/>
            <w:vAlign w:val="center"/>
          </w:tcPr>
          <w:p>
            <w:pPr>
              <w:widowControl/>
              <w:snapToGrid w:val="0"/>
              <w:spacing w:line="500" w:lineRule="exact"/>
              <w:jc w:val="center"/>
              <w:rPr>
                <w:rFonts w:hint="eastAsia" w:ascii="宋体" w:hAnsi="宋体" w:cs="宋体"/>
                <w:b/>
                <w:kern w:val="0"/>
                <w:szCs w:val="21"/>
              </w:rPr>
            </w:pPr>
            <w:r>
              <w:rPr>
                <w:rFonts w:hint="eastAsia" w:ascii="宋体" w:hAnsi="宋体" w:cs="宋体"/>
                <w:b/>
                <w:kern w:val="0"/>
                <w:szCs w:val="21"/>
              </w:rPr>
              <w:t>√</w:t>
            </w:r>
          </w:p>
        </w:tc>
      </w:tr>
      <w:tr>
        <w:tblPrEx>
          <w:tblLayout w:type="fixed"/>
          <w:tblCellMar>
            <w:top w:w="0" w:type="dxa"/>
            <w:left w:w="108" w:type="dxa"/>
            <w:bottom w:w="0" w:type="dxa"/>
            <w:right w:w="108" w:type="dxa"/>
          </w:tblCellMar>
        </w:tblPrEx>
        <w:trPr>
          <w:jc w:val="center"/>
        </w:trPr>
        <w:tc>
          <w:tcPr>
            <w:tcW w:w="523" w:type="dxa"/>
            <w:vAlign w:val="center"/>
          </w:tcPr>
          <w:p>
            <w:pPr>
              <w:jc w:val="center"/>
              <w:rPr>
                <w:rFonts w:hint="eastAsia"/>
                <w:b/>
                <w:color w:val="000000"/>
              </w:rPr>
            </w:pPr>
            <w:r>
              <w:rPr>
                <w:rFonts w:hint="eastAsia"/>
                <w:b/>
                <w:color w:val="000000"/>
              </w:rPr>
              <w:t>56</w:t>
            </w:r>
          </w:p>
        </w:tc>
        <w:tc>
          <w:tcPr>
            <w:tcW w:w="977" w:type="dxa"/>
            <w:vAlign w:val="center"/>
          </w:tcPr>
          <w:p>
            <w:pPr>
              <w:jc w:val="center"/>
              <w:rPr>
                <w:rFonts w:hint="eastAsia"/>
              </w:rPr>
            </w:pPr>
            <w:r>
              <w:rPr>
                <w:rFonts w:hint="eastAsia"/>
              </w:rPr>
              <w:t>007164</w:t>
            </w:r>
          </w:p>
        </w:tc>
        <w:tc>
          <w:tcPr>
            <w:tcW w:w="4612" w:type="dxa"/>
            <w:vAlign w:val="center"/>
          </w:tcPr>
          <w:p>
            <w:pPr>
              <w:rPr>
                <w:rFonts w:hint="eastAsia" w:ascii="宋体" w:hAnsi="宋体" w:cs="宋体"/>
                <w:kern w:val="0"/>
                <w:szCs w:val="21"/>
              </w:rPr>
            </w:pPr>
            <w:r>
              <w:rPr>
                <w:rFonts w:hint="eastAsia" w:ascii="宋体" w:hAnsi="宋体" w:cs="宋体"/>
                <w:kern w:val="0"/>
                <w:szCs w:val="21"/>
              </w:rPr>
              <w:t>浦银安盛环保新能源混合型证券投资基金C类</w:t>
            </w:r>
          </w:p>
        </w:tc>
        <w:tc>
          <w:tcPr>
            <w:tcW w:w="1058" w:type="dxa"/>
          </w:tcPr>
          <w:p>
            <w:pPr>
              <w:jc w:val="center"/>
            </w:pPr>
            <w:r>
              <w:rPr>
                <w:rFonts w:hint="eastAsia" w:ascii="宋体" w:hAnsi="宋体" w:cs="宋体"/>
                <w:b/>
                <w:kern w:val="0"/>
                <w:szCs w:val="21"/>
              </w:rPr>
              <w:t>√</w:t>
            </w:r>
          </w:p>
        </w:tc>
        <w:tc>
          <w:tcPr>
            <w:tcW w:w="1177" w:type="dxa"/>
          </w:tcPr>
          <w:p>
            <w:pPr>
              <w:widowControl/>
              <w:snapToGrid w:val="0"/>
              <w:spacing w:line="500" w:lineRule="exact"/>
              <w:jc w:val="center"/>
              <w:rPr>
                <w:rFonts w:hint="eastAsia" w:ascii="宋体" w:hAnsi="宋体" w:cs="宋体"/>
                <w:b/>
                <w:kern w:val="0"/>
                <w:szCs w:val="21"/>
              </w:rPr>
            </w:pPr>
            <w:r>
              <w:rPr>
                <w:rFonts w:hint="eastAsia" w:ascii="宋体" w:hAnsi="宋体" w:cs="宋体"/>
                <w:b/>
                <w:kern w:val="0"/>
                <w:szCs w:val="21"/>
              </w:rPr>
              <w:t>—</w:t>
            </w:r>
          </w:p>
        </w:tc>
      </w:tr>
    </w:tbl>
    <w:p>
      <w:pPr>
        <w:widowControl/>
        <w:snapToGrid w:val="0"/>
        <w:spacing w:line="500" w:lineRule="exact"/>
        <w:jc w:val="left"/>
        <w:rPr>
          <w:rFonts w:ascii="宋体" w:hAnsi="宋体" w:cs="宋体"/>
          <w:b/>
          <w:kern w:val="0"/>
          <w:szCs w:val="21"/>
        </w:rPr>
      </w:pPr>
      <w:r>
        <w:rPr>
          <w:rFonts w:hint="eastAsia" w:ascii="宋体" w:hAnsi="宋体" w:cs="宋体"/>
          <w:b/>
          <w:kern w:val="0"/>
          <w:szCs w:val="21"/>
        </w:rPr>
        <w:t>注：</w:t>
      </w:r>
      <w:r>
        <w:rPr>
          <w:rFonts w:hint="eastAsia" w:ascii="宋体" w:hAnsi="宋体" w:cs="宋体"/>
          <w:kern w:val="0"/>
          <w:szCs w:val="21"/>
        </w:rPr>
        <w:t>浦银安盛幸福回报定期开放债券型证券投资基金、浦银安盛6个月定期开放债券型证券投资基金、浦银安盛季季添利定期开放债券型证券投资基金、浦银安盛月月盈安心养老定期支付债券型证券投资基金、浦银安盛幸福聚利定期开放债券型证券投资基金、浦银安盛幸福聚益18个月定期开放债券型证券投资基金、</w:t>
      </w:r>
      <w:r>
        <w:rPr>
          <w:rFonts w:hint="eastAsia"/>
        </w:rPr>
        <w:t>浦银安盛安和回报定期开放混合型证券投资基金</w:t>
      </w:r>
      <w:r>
        <w:rPr>
          <w:rFonts w:hint="eastAsia" w:asciiTheme="minorEastAsia" w:hAnsiTheme="minorEastAsia" w:eastAsiaTheme="minorEastAsia"/>
        </w:rPr>
        <w:t>、</w:t>
      </w:r>
      <w:r>
        <w:rPr>
          <w:rFonts w:hint="eastAsia"/>
        </w:rPr>
        <w:t>浦银安盛安久回报定期开放混合型证券投资基金、浦银安盛安恒回报定期开放混合型证券投资基金、浦银安盛双债增强债券型证券投资基金</w:t>
      </w:r>
      <w:r>
        <w:rPr>
          <w:rFonts w:hint="eastAsia" w:ascii="宋体" w:hAnsi="宋体" w:cs="宋体"/>
          <w:kern w:val="0"/>
          <w:szCs w:val="21"/>
        </w:rPr>
        <w:t>处于封闭运作期</w:t>
      </w:r>
      <w:r>
        <w:rPr>
          <w:rFonts w:hint="eastAsia"/>
        </w:rPr>
        <w:t>，</w:t>
      </w:r>
      <w:r>
        <w:rPr>
          <w:rFonts w:hint="eastAsia" w:ascii="宋体" w:hAnsi="宋体" w:cs="宋体"/>
          <w:kern w:val="0"/>
          <w:szCs w:val="21"/>
        </w:rPr>
        <w:t>暂不办理申购</w:t>
      </w:r>
      <w:r>
        <w:rPr>
          <w:rFonts w:hint="eastAsia" w:cs="宋体" w:asciiTheme="minorEastAsia" w:hAnsiTheme="minorEastAsia" w:eastAsiaTheme="minorEastAsia"/>
          <w:kern w:val="0"/>
          <w:szCs w:val="21"/>
        </w:rPr>
        <w:t>(含定期定额申购)</w:t>
      </w:r>
      <w:r>
        <w:rPr>
          <w:rFonts w:hint="eastAsia" w:ascii="宋体" w:hAnsi="宋体" w:cs="宋体"/>
          <w:kern w:val="0"/>
          <w:szCs w:val="21"/>
        </w:rPr>
        <w:t>和赎回等业务，上述基金开放相关业务的具体时间请见本公司相关公告。</w:t>
      </w:r>
    </w:p>
    <w:p>
      <w:pPr>
        <w:widowControl/>
        <w:snapToGrid w:val="0"/>
        <w:spacing w:line="500" w:lineRule="exact"/>
        <w:jc w:val="left"/>
        <w:rPr>
          <w:rFonts w:ascii="宋体" w:hAnsi="宋体" w:cs="宋体"/>
          <w:b/>
          <w:kern w:val="0"/>
          <w:szCs w:val="21"/>
        </w:rPr>
      </w:pPr>
      <w:r>
        <w:rPr>
          <w:rFonts w:hint="eastAsia" w:ascii="宋体" w:hAnsi="宋体" w:cs="宋体"/>
          <w:b/>
          <w:kern w:val="0"/>
          <w:szCs w:val="21"/>
        </w:rPr>
        <w:t>三、认、申购费率优惠</w:t>
      </w:r>
    </w:p>
    <w:p>
      <w:pPr>
        <w:widowControl/>
        <w:snapToGrid w:val="0"/>
        <w:spacing w:line="500" w:lineRule="exact"/>
        <w:ind w:firstLine="420"/>
        <w:jc w:val="left"/>
        <w:rPr>
          <w:rFonts w:ascii="宋体" w:hAnsi="宋体" w:cs="宋体"/>
          <w:kern w:val="0"/>
          <w:szCs w:val="21"/>
        </w:rPr>
      </w:pPr>
      <w:r>
        <w:rPr>
          <w:rFonts w:hint="eastAsia" w:ascii="宋体" w:hAnsi="宋体" w:cs="宋体"/>
          <w:kern w:val="0"/>
          <w:szCs w:val="21"/>
        </w:rPr>
        <w:t>1、参与基金</w:t>
      </w:r>
    </w:p>
    <w:p>
      <w:pPr>
        <w:widowControl/>
        <w:snapToGrid w:val="0"/>
        <w:spacing w:line="500" w:lineRule="exact"/>
        <w:ind w:firstLine="420"/>
        <w:jc w:val="left"/>
        <w:rPr>
          <w:rFonts w:ascii="宋体" w:hAnsi="宋体" w:cs="宋体"/>
          <w:kern w:val="0"/>
          <w:szCs w:val="21"/>
        </w:rPr>
      </w:pPr>
      <w:r>
        <w:rPr>
          <w:rFonts w:hint="eastAsia" w:ascii="宋体" w:hAnsi="宋体" w:cs="宋体"/>
          <w:kern w:val="0"/>
          <w:szCs w:val="21"/>
        </w:rPr>
        <w:t>除浦银安盛优化收益债券型证券投资基金（C类）、浦银安盛货币市场证券投资基金（A类和B类）、浦银安盛稳健增利债券型证券投资基金（LOF）C、浦银安盛幸福回报定期开放债券型证券投资基金（B类）、浦银安盛6个月定期开放债券型证券投资基金（C类）、浦银安盛季季添利定期开放债券型证券投资基金（C类）、浦银安盛日日盈货币市场基金（A类和B类）、浦银安盛月月盈安心养老定期支付债券型证券投资基金（C类）、浦银安盛睿智精选灵活配置混合型证券投资基金（C类）、浦银安盛幸福聚利定期开放债券型证券投资基金（C类）、浦银安盛幸福聚益18个月定期开放债券型证券投资基金（C类）、</w:t>
      </w:r>
      <w:r>
        <w:rPr>
          <w:rFonts w:hint="eastAsia"/>
        </w:rPr>
        <w:t>浦银安盛日日丰货币市场基金（A类和B类）、浦银安盛安和回报定期开放混合型证券投资基金（C类）、浦银安盛安久回报定期开放混合型证券投资基金（C类）、浦银安盛安恒回报定期开放混合型证券投资基金（C类）和</w:t>
      </w:r>
      <w:r>
        <w:rPr>
          <w:rFonts w:hint="eastAsia" w:ascii="宋体" w:hAnsi="宋体" w:cs="宋体"/>
          <w:kern w:val="0"/>
          <w:szCs w:val="21"/>
        </w:rPr>
        <w:t>浦银安盛日日鑫货币市场基金（A类和B类）、浦银安盛量化多策略灵活配置混合型证券投资基金</w:t>
      </w:r>
      <w:r>
        <w:rPr>
          <w:rFonts w:hint="eastAsia"/>
        </w:rPr>
        <w:t>（C类）</w:t>
      </w:r>
      <w:r>
        <w:rPr>
          <w:rFonts w:hint="eastAsia" w:ascii="宋体" w:hAnsi="宋体" w:cs="宋体"/>
          <w:kern w:val="0"/>
          <w:szCs w:val="21"/>
        </w:rPr>
        <w:t>、浦银安盛中短债债券型证券投资基金</w:t>
      </w:r>
      <w:r>
        <w:rPr>
          <w:rFonts w:hint="eastAsia"/>
        </w:rPr>
        <w:t>（C类）</w:t>
      </w:r>
      <w:r>
        <w:rPr>
          <w:rFonts w:hint="eastAsia" w:ascii="宋体" w:hAnsi="宋体" w:cs="宋体"/>
          <w:kern w:val="0"/>
          <w:szCs w:val="21"/>
        </w:rPr>
        <w:t>、浦银安盛双债增强债券型证券投资基金</w:t>
      </w:r>
      <w:r>
        <w:rPr>
          <w:rFonts w:hint="eastAsia"/>
        </w:rPr>
        <w:t>（C类）</w:t>
      </w:r>
      <w:r>
        <w:rPr>
          <w:rFonts w:hint="eastAsia" w:ascii="宋体" w:hAnsi="宋体" w:cs="宋体"/>
          <w:kern w:val="0"/>
          <w:szCs w:val="21"/>
        </w:rPr>
        <w:t>、浦银安盛环保新能源混合型证券投资基金</w:t>
      </w:r>
      <w:r>
        <w:rPr>
          <w:rFonts w:hint="eastAsia"/>
        </w:rPr>
        <w:t>（C类）</w:t>
      </w:r>
      <w:r>
        <w:rPr>
          <w:rFonts w:hint="eastAsia" w:ascii="宋体" w:hAnsi="宋体" w:cs="宋体"/>
          <w:kern w:val="0"/>
          <w:szCs w:val="21"/>
        </w:rPr>
        <w:t>，其余本次东方财富</w:t>
      </w:r>
      <w:r>
        <w:rPr>
          <w:rFonts w:hint="eastAsia" w:ascii="宋体" w:hAnsi="宋体" w:cs="宋体"/>
          <w:kern w:val="0"/>
          <w:szCs w:val="21"/>
          <w:lang w:val="en-US" w:eastAsia="zh-CN"/>
        </w:rPr>
        <w:t>证券</w:t>
      </w:r>
      <w:r>
        <w:rPr>
          <w:rFonts w:hint="eastAsia" w:ascii="宋体" w:hAnsi="宋体" w:cs="宋体"/>
          <w:kern w:val="0"/>
          <w:szCs w:val="21"/>
        </w:rPr>
        <w:t>新增代销的基金均参加申购费率优惠活动。</w:t>
      </w:r>
    </w:p>
    <w:p>
      <w:pPr>
        <w:widowControl/>
        <w:snapToGrid w:val="0"/>
        <w:spacing w:line="500" w:lineRule="exact"/>
        <w:ind w:firstLine="420"/>
        <w:jc w:val="left"/>
        <w:rPr>
          <w:rFonts w:ascii="宋体" w:hAnsi="宋体" w:cs="宋体"/>
          <w:kern w:val="0"/>
          <w:szCs w:val="21"/>
        </w:rPr>
      </w:pPr>
      <w:r>
        <w:rPr>
          <w:rFonts w:hint="eastAsia" w:ascii="宋体" w:hAnsi="宋体" w:cs="宋体"/>
          <w:kern w:val="0"/>
          <w:szCs w:val="21"/>
        </w:rPr>
        <w:t>2、优惠活动开展时间</w:t>
      </w:r>
    </w:p>
    <w:p>
      <w:pPr>
        <w:widowControl/>
        <w:snapToGrid w:val="0"/>
        <w:spacing w:line="500" w:lineRule="exact"/>
        <w:ind w:firstLine="420"/>
        <w:jc w:val="left"/>
        <w:rPr>
          <w:rFonts w:ascii="宋体" w:hAnsi="宋体" w:cs="宋体"/>
          <w:kern w:val="0"/>
          <w:szCs w:val="21"/>
        </w:rPr>
      </w:pPr>
      <w:r>
        <w:rPr>
          <w:rFonts w:hint="eastAsia" w:ascii="宋体" w:hAnsi="宋体" w:cs="宋体"/>
          <w:kern w:val="0"/>
          <w:szCs w:val="21"/>
        </w:rPr>
        <w:t>本次优惠活动自2019年6月</w:t>
      </w:r>
      <w:r>
        <w:rPr>
          <w:rFonts w:hint="eastAsia" w:ascii="宋体" w:hAnsi="宋体" w:cs="宋体"/>
          <w:kern w:val="0"/>
          <w:szCs w:val="21"/>
          <w:lang w:val="en-US" w:eastAsia="zh-CN"/>
        </w:rPr>
        <w:t>28</w:t>
      </w:r>
      <w:r>
        <w:rPr>
          <w:rFonts w:hint="eastAsia" w:ascii="宋体" w:hAnsi="宋体" w:cs="宋体"/>
          <w:kern w:val="0"/>
          <w:szCs w:val="21"/>
        </w:rPr>
        <w:t>日起。</w:t>
      </w:r>
    </w:p>
    <w:p>
      <w:pPr>
        <w:widowControl/>
        <w:snapToGrid w:val="0"/>
        <w:spacing w:line="500" w:lineRule="exact"/>
        <w:ind w:firstLine="420"/>
        <w:jc w:val="left"/>
        <w:rPr>
          <w:rFonts w:ascii="宋体" w:hAnsi="宋体" w:cs="宋体"/>
          <w:kern w:val="0"/>
          <w:szCs w:val="21"/>
        </w:rPr>
      </w:pPr>
      <w:r>
        <w:rPr>
          <w:rFonts w:hint="eastAsia" w:ascii="宋体" w:hAnsi="宋体" w:cs="宋体"/>
          <w:kern w:val="0"/>
          <w:szCs w:val="21"/>
        </w:rPr>
        <w:t>3、优惠活动方案</w:t>
      </w:r>
      <w:bookmarkStart w:id="0" w:name="_GoBack"/>
      <w:bookmarkEnd w:id="0"/>
    </w:p>
    <w:p>
      <w:pPr>
        <w:widowControl/>
        <w:snapToGrid w:val="0"/>
        <w:spacing w:line="500" w:lineRule="exact"/>
        <w:ind w:firstLine="420"/>
        <w:jc w:val="left"/>
        <w:rPr>
          <w:rFonts w:ascii="宋体" w:hAnsi="宋体" w:cs="宋体"/>
          <w:kern w:val="0"/>
          <w:szCs w:val="21"/>
        </w:rPr>
      </w:pPr>
      <w:r>
        <w:rPr>
          <w:rFonts w:hint="eastAsia" w:ascii="宋体" w:hAnsi="宋体" w:cs="宋体"/>
          <w:kern w:val="0"/>
          <w:szCs w:val="21"/>
        </w:rPr>
        <w:t>投资者通过东方财富</w:t>
      </w:r>
      <w:r>
        <w:rPr>
          <w:rFonts w:hint="eastAsia" w:ascii="宋体" w:hAnsi="宋体" w:cs="宋体"/>
          <w:kern w:val="0"/>
          <w:szCs w:val="21"/>
          <w:lang w:val="en-US" w:eastAsia="zh-CN"/>
        </w:rPr>
        <w:t>证券</w:t>
      </w:r>
      <w:r>
        <w:rPr>
          <w:rFonts w:hint="eastAsia" w:ascii="宋体" w:hAnsi="宋体" w:cs="宋体"/>
          <w:kern w:val="0"/>
          <w:szCs w:val="21"/>
        </w:rPr>
        <w:t>网上交易系统申购上述基金可享受申购费率优惠，具体折扣费率以东方财富</w:t>
      </w:r>
      <w:r>
        <w:rPr>
          <w:rFonts w:hint="eastAsia" w:ascii="宋体" w:hAnsi="宋体" w:cs="宋体"/>
          <w:kern w:val="0"/>
          <w:szCs w:val="21"/>
          <w:lang w:val="en-US" w:eastAsia="zh-CN"/>
        </w:rPr>
        <w:t>证券</w:t>
      </w:r>
      <w:r>
        <w:rPr>
          <w:rFonts w:hint="eastAsia" w:ascii="宋体" w:hAnsi="宋体" w:cs="宋体"/>
          <w:kern w:val="0"/>
          <w:szCs w:val="21"/>
        </w:rPr>
        <w:t>官方网站页面公示为准；</w:t>
      </w:r>
      <w:r>
        <w:rPr>
          <w:rFonts w:hint="eastAsia" w:ascii="宋体" w:hAnsi="宋体" w:cs="宋体"/>
          <w:kern w:val="0"/>
        </w:rPr>
        <w:t>原费率为固定费用的不再优惠</w:t>
      </w:r>
      <w:r>
        <w:rPr>
          <w:rFonts w:ascii="宋体" w:hAnsi="宋体" w:cs="宋体"/>
          <w:kern w:val="0"/>
          <w:szCs w:val="21"/>
        </w:rPr>
        <w:t>。</w:t>
      </w:r>
    </w:p>
    <w:p>
      <w:pPr>
        <w:widowControl/>
        <w:snapToGrid w:val="0"/>
        <w:spacing w:line="500" w:lineRule="exact"/>
        <w:ind w:firstLine="420"/>
        <w:jc w:val="left"/>
        <w:rPr>
          <w:rFonts w:ascii="宋体" w:hAnsi="宋体" w:cs="宋体"/>
          <w:kern w:val="0"/>
          <w:szCs w:val="21"/>
        </w:rPr>
      </w:pPr>
      <w:r>
        <w:rPr>
          <w:rFonts w:hint="eastAsia" w:ascii="宋体" w:hAnsi="宋体" w:cs="宋体"/>
          <w:kern w:val="0"/>
          <w:szCs w:val="21"/>
        </w:rPr>
        <w:t>4、重要提示</w:t>
      </w:r>
    </w:p>
    <w:p>
      <w:pPr>
        <w:widowControl/>
        <w:snapToGrid w:val="0"/>
        <w:spacing w:line="500" w:lineRule="exact"/>
        <w:ind w:firstLine="420"/>
        <w:jc w:val="left"/>
        <w:rPr>
          <w:rFonts w:ascii="宋体" w:hAnsi="宋体" w:cs="宋体"/>
          <w:kern w:val="0"/>
          <w:szCs w:val="21"/>
        </w:rPr>
      </w:pPr>
      <w:r>
        <w:rPr>
          <w:rFonts w:hint="eastAsia" w:ascii="宋体" w:hAnsi="宋体" w:cs="宋体"/>
          <w:kern w:val="0"/>
          <w:szCs w:val="21"/>
        </w:rPr>
        <w:t>（1）上述基金原费率详见各基金的《基金合同》和《招募说明书》等相关法律文件及本公司发布的最新业务公告。</w:t>
      </w:r>
    </w:p>
    <w:p>
      <w:pPr>
        <w:widowControl/>
        <w:snapToGrid w:val="0"/>
        <w:spacing w:line="500" w:lineRule="exact"/>
        <w:ind w:firstLine="420"/>
        <w:jc w:val="left"/>
        <w:rPr>
          <w:rFonts w:ascii="宋体" w:hAnsi="宋体" w:cs="宋体"/>
          <w:kern w:val="0"/>
          <w:szCs w:val="21"/>
        </w:rPr>
      </w:pPr>
      <w:r>
        <w:rPr>
          <w:rFonts w:hint="eastAsia" w:ascii="宋体" w:hAnsi="宋体" w:cs="宋体"/>
          <w:kern w:val="0"/>
          <w:szCs w:val="21"/>
        </w:rPr>
        <w:t>（2）本优惠活动仅适用于处于正常申购期且为前端收费模式的基金，不包括后端收费模式的基金，也不包括基金转换、赎回业务等其他业务的基金手续费。</w:t>
      </w:r>
    </w:p>
    <w:p>
      <w:pPr>
        <w:widowControl/>
        <w:snapToGrid w:val="0"/>
        <w:spacing w:line="500" w:lineRule="exact"/>
        <w:ind w:firstLine="420"/>
        <w:jc w:val="left"/>
        <w:rPr>
          <w:rFonts w:ascii="宋体" w:hAnsi="宋体" w:cs="宋体"/>
          <w:kern w:val="0"/>
          <w:szCs w:val="21"/>
        </w:rPr>
      </w:pPr>
      <w:r>
        <w:rPr>
          <w:rFonts w:hint="eastAsia" w:ascii="宋体" w:hAnsi="宋体" w:cs="宋体"/>
          <w:kern w:val="0"/>
          <w:szCs w:val="21"/>
        </w:rPr>
        <w:t>（3）本公司新增的基金产品是否参与上述费率优惠活动，本公司将与东方财富</w:t>
      </w:r>
      <w:r>
        <w:rPr>
          <w:rFonts w:hint="eastAsia" w:ascii="宋体" w:hAnsi="宋体" w:cs="宋体"/>
          <w:kern w:val="0"/>
          <w:szCs w:val="21"/>
          <w:lang w:val="en-US" w:eastAsia="zh-CN"/>
        </w:rPr>
        <w:t>证券</w:t>
      </w:r>
      <w:r>
        <w:rPr>
          <w:rFonts w:hint="eastAsia" w:ascii="宋体" w:hAnsi="宋体" w:cs="宋体"/>
          <w:kern w:val="0"/>
          <w:szCs w:val="21"/>
        </w:rPr>
        <w:t>协商后另行公告。</w:t>
      </w:r>
    </w:p>
    <w:p>
      <w:pPr>
        <w:widowControl/>
        <w:snapToGrid w:val="0"/>
        <w:spacing w:line="500" w:lineRule="exact"/>
        <w:ind w:firstLine="420"/>
        <w:jc w:val="left"/>
        <w:rPr>
          <w:rFonts w:ascii="宋体" w:hAnsi="宋体" w:cs="宋体"/>
          <w:kern w:val="0"/>
          <w:szCs w:val="21"/>
        </w:rPr>
      </w:pPr>
      <w:r>
        <w:rPr>
          <w:rFonts w:hint="eastAsia" w:ascii="宋体" w:hAnsi="宋体" w:cs="宋体"/>
          <w:kern w:val="0"/>
          <w:szCs w:val="21"/>
        </w:rPr>
        <w:t>（4）本次优惠活动的解释权归东方财富</w:t>
      </w:r>
      <w:r>
        <w:rPr>
          <w:rFonts w:hint="eastAsia" w:ascii="宋体" w:hAnsi="宋体" w:cs="宋体"/>
          <w:kern w:val="0"/>
          <w:szCs w:val="21"/>
          <w:lang w:val="en-US" w:eastAsia="zh-CN"/>
        </w:rPr>
        <w:t>证券</w:t>
      </w:r>
      <w:r>
        <w:rPr>
          <w:rFonts w:hint="eastAsia" w:ascii="宋体" w:hAnsi="宋体" w:cs="宋体"/>
          <w:kern w:val="0"/>
          <w:szCs w:val="21"/>
        </w:rPr>
        <w:t>，优惠活动业务办理的相关规则、流程、变更及终止以东方财富</w:t>
      </w:r>
      <w:r>
        <w:rPr>
          <w:rFonts w:hint="eastAsia" w:ascii="宋体" w:hAnsi="宋体" w:cs="宋体"/>
          <w:kern w:val="0"/>
          <w:szCs w:val="21"/>
          <w:lang w:val="en-US" w:eastAsia="zh-CN"/>
        </w:rPr>
        <w:t>证券</w:t>
      </w:r>
      <w:r>
        <w:rPr>
          <w:rFonts w:hint="eastAsia" w:ascii="宋体" w:hAnsi="宋体" w:cs="宋体"/>
          <w:kern w:val="0"/>
          <w:szCs w:val="21"/>
        </w:rPr>
        <w:t>的安排和规定为准。</w:t>
      </w:r>
    </w:p>
    <w:p>
      <w:pPr>
        <w:widowControl/>
        <w:snapToGrid w:val="0"/>
        <w:spacing w:line="500" w:lineRule="exact"/>
        <w:jc w:val="left"/>
        <w:rPr>
          <w:rFonts w:ascii="宋体" w:hAnsi="宋体" w:cs="宋体"/>
          <w:color w:val="000000"/>
          <w:kern w:val="0"/>
          <w:szCs w:val="21"/>
        </w:rPr>
      </w:pPr>
    </w:p>
    <w:p>
      <w:pPr>
        <w:widowControl/>
        <w:snapToGrid w:val="0"/>
        <w:spacing w:line="500" w:lineRule="exact"/>
        <w:jc w:val="left"/>
        <w:rPr>
          <w:rFonts w:ascii="宋体" w:hAnsi="宋体" w:cs="宋体"/>
          <w:b/>
          <w:kern w:val="0"/>
          <w:szCs w:val="21"/>
        </w:rPr>
      </w:pPr>
    </w:p>
    <w:p>
      <w:pPr>
        <w:widowControl/>
        <w:snapToGrid w:val="0"/>
        <w:spacing w:line="500" w:lineRule="exact"/>
        <w:jc w:val="left"/>
        <w:rPr>
          <w:rFonts w:ascii="宋体" w:hAnsi="宋体" w:cs="宋体"/>
          <w:b/>
          <w:kern w:val="0"/>
          <w:szCs w:val="21"/>
        </w:rPr>
      </w:pPr>
      <w:r>
        <w:rPr>
          <w:rFonts w:hint="eastAsia" w:ascii="宋体" w:hAnsi="宋体" w:cs="宋体"/>
          <w:b/>
          <w:kern w:val="0"/>
          <w:szCs w:val="21"/>
        </w:rPr>
        <w:t>六、</w:t>
      </w:r>
      <w:r>
        <w:rPr>
          <w:rFonts w:ascii="宋体" w:hAnsi="宋体" w:cs="宋体"/>
          <w:b/>
          <w:kern w:val="0"/>
          <w:szCs w:val="21"/>
        </w:rPr>
        <w:t>投资者可通过以下途径咨询有关详情：</w:t>
      </w:r>
    </w:p>
    <w:p>
      <w:pPr>
        <w:spacing w:line="500" w:lineRule="exact"/>
        <w:ind w:left="479" w:leftChars="228"/>
        <w:rPr>
          <w:rFonts w:ascii="宋体" w:hAnsi="宋体"/>
          <w:szCs w:val="21"/>
        </w:rPr>
      </w:pPr>
      <w:r>
        <w:rPr>
          <w:rFonts w:ascii="宋体" w:hAnsi="宋体"/>
          <w:szCs w:val="21"/>
        </w:rPr>
        <w:t>1、</w:t>
      </w:r>
      <w:r>
        <w:rPr>
          <w:rFonts w:hint="eastAsia" w:ascii="宋体" w:hAnsi="宋体"/>
          <w:szCs w:val="21"/>
        </w:rPr>
        <w:t>西藏东方财富证券股份有限公司</w:t>
      </w:r>
    </w:p>
    <w:p>
      <w:pPr>
        <w:spacing w:line="500" w:lineRule="exact"/>
        <w:ind w:left="479" w:leftChars="228"/>
        <w:rPr>
          <w:rFonts w:ascii="宋体" w:hAnsi="宋体"/>
          <w:szCs w:val="21"/>
        </w:rPr>
      </w:pPr>
      <w:r>
        <w:rPr>
          <w:rFonts w:hint="eastAsia" w:ascii="宋体" w:hAnsi="宋体"/>
          <w:szCs w:val="21"/>
        </w:rPr>
        <w:t>客服电话：</w:t>
      </w:r>
      <w:r>
        <w:t>95357</w:t>
      </w:r>
    </w:p>
    <w:p>
      <w:pPr>
        <w:spacing w:line="500" w:lineRule="exact"/>
        <w:ind w:left="479" w:leftChars="228"/>
        <w:rPr>
          <w:rFonts w:ascii="宋体" w:hAnsi="宋体"/>
          <w:szCs w:val="21"/>
        </w:rPr>
      </w:pPr>
      <w:r>
        <w:rPr>
          <w:rFonts w:hint="eastAsia" w:ascii="宋体" w:hAnsi="宋体"/>
          <w:szCs w:val="21"/>
        </w:rPr>
        <w:t>公司网站：</w:t>
      </w:r>
      <w:r>
        <w:t>www.18.cn</w:t>
      </w:r>
    </w:p>
    <w:p>
      <w:pPr>
        <w:spacing w:line="500" w:lineRule="exact"/>
        <w:ind w:left="479" w:leftChars="228"/>
        <w:rPr>
          <w:rFonts w:ascii="宋体" w:hAnsi="宋体"/>
          <w:szCs w:val="21"/>
        </w:rPr>
      </w:pPr>
      <w:r>
        <w:rPr>
          <w:rFonts w:ascii="宋体" w:hAnsi="宋体"/>
          <w:szCs w:val="21"/>
        </w:rPr>
        <w:t>2、</w:t>
      </w:r>
      <w:r>
        <w:rPr>
          <w:rFonts w:hint="eastAsia" w:ascii="宋体" w:hAnsi="宋体"/>
          <w:szCs w:val="21"/>
        </w:rPr>
        <w:t>浦银安盛</w:t>
      </w:r>
      <w:r>
        <w:rPr>
          <w:rFonts w:ascii="宋体" w:hAnsi="宋体"/>
          <w:szCs w:val="21"/>
        </w:rPr>
        <w:t>基金管理有限公司</w:t>
      </w:r>
    </w:p>
    <w:p>
      <w:pPr>
        <w:spacing w:line="500" w:lineRule="exact"/>
        <w:ind w:firstLine="420"/>
        <w:rPr>
          <w:rFonts w:ascii="宋体" w:hAnsi="宋体"/>
          <w:szCs w:val="21"/>
        </w:rPr>
      </w:pPr>
      <w:r>
        <w:rPr>
          <w:rFonts w:ascii="宋体" w:hAnsi="宋体"/>
          <w:szCs w:val="21"/>
        </w:rPr>
        <w:t>客户服务</w:t>
      </w:r>
      <w:r>
        <w:rPr>
          <w:rFonts w:hint="eastAsia" w:ascii="宋体" w:hAnsi="宋体"/>
          <w:szCs w:val="21"/>
        </w:rPr>
        <w:t>中心</w:t>
      </w:r>
      <w:r>
        <w:rPr>
          <w:rFonts w:ascii="宋体" w:hAnsi="宋体"/>
          <w:szCs w:val="21"/>
        </w:rPr>
        <w:t>电话：400-</w:t>
      </w:r>
      <w:r>
        <w:rPr>
          <w:rFonts w:hint="eastAsia" w:ascii="宋体" w:hAnsi="宋体"/>
          <w:szCs w:val="21"/>
        </w:rPr>
        <w:t>8828</w:t>
      </w:r>
      <w:r>
        <w:rPr>
          <w:rFonts w:ascii="宋体" w:hAnsi="宋体"/>
          <w:szCs w:val="21"/>
        </w:rPr>
        <w:t>-</w:t>
      </w:r>
      <w:r>
        <w:rPr>
          <w:rFonts w:hint="eastAsia" w:ascii="宋体" w:hAnsi="宋体"/>
          <w:szCs w:val="21"/>
        </w:rPr>
        <w:t>999或021-3307-9999</w:t>
      </w:r>
    </w:p>
    <w:p>
      <w:pPr>
        <w:spacing w:line="500" w:lineRule="exact"/>
        <w:ind w:firstLine="420" w:firstLineChars="200"/>
        <w:rPr>
          <w:rFonts w:ascii="宋体" w:hAnsi="宋体"/>
          <w:b/>
          <w:szCs w:val="21"/>
        </w:rPr>
      </w:pPr>
      <w:r>
        <w:rPr>
          <w:rFonts w:hint="eastAsia" w:ascii="宋体" w:hAnsi="宋体"/>
          <w:szCs w:val="21"/>
        </w:rPr>
        <w:t>网址：</w:t>
      </w:r>
      <w:r>
        <w:fldChar w:fldCharType="begin"/>
      </w:r>
      <w:r>
        <w:instrText xml:space="preserve"> HYPERLINK "http://www.py-axa.com" </w:instrText>
      </w:r>
      <w:r>
        <w:fldChar w:fldCharType="separate"/>
      </w:r>
      <w:r>
        <w:rPr>
          <w:rFonts w:hint="eastAsia" w:ascii="宋体" w:hAnsi="宋体"/>
          <w:iCs/>
          <w:szCs w:val="21"/>
        </w:rPr>
        <w:t>www.py-axa.com</w:t>
      </w:r>
      <w:r>
        <w:rPr>
          <w:rFonts w:hint="eastAsia" w:ascii="宋体" w:hAnsi="宋体"/>
          <w:iCs/>
          <w:szCs w:val="21"/>
        </w:rPr>
        <w:fldChar w:fldCharType="end"/>
      </w:r>
    </w:p>
    <w:p>
      <w:pPr>
        <w:spacing w:line="500" w:lineRule="exact"/>
        <w:rPr>
          <w:rFonts w:ascii="宋体" w:hAnsi="宋体"/>
          <w:b/>
          <w:szCs w:val="21"/>
        </w:rPr>
      </w:pPr>
    </w:p>
    <w:p>
      <w:pPr>
        <w:spacing w:line="500" w:lineRule="exact"/>
        <w:rPr>
          <w:rFonts w:ascii="宋体" w:hAnsi="宋体"/>
          <w:b/>
          <w:szCs w:val="21"/>
        </w:rPr>
      </w:pPr>
      <w:r>
        <w:rPr>
          <w:rFonts w:hint="eastAsia" w:ascii="宋体" w:hAnsi="宋体"/>
          <w:b/>
          <w:szCs w:val="21"/>
        </w:rPr>
        <w:t>风险提示：</w:t>
      </w:r>
    </w:p>
    <w:p>
      <w:pPr>
        <w:spacing w:line="500" w:lineRule="exact"/>
        <w:ind w:firstLine="420" w:firstLineChars="200"/>
        <w:rPr>
          <w:rFonts w:ascii="宋体" w:hAnsi="宋体"/>
          <w:szCs w:val="21"/>
        </w:rPr>
      </w:pPr>
      <w:r>
        <w:rPr>
          <w:rFonts w:hint="eastAsia" w:ascii="宋体" w:hAnsi="宋体"/>
          <w:szCs w:val="21"/>
        </w:rPr>
        <w:t>本公司承诺以诚实信用、勤勉尽责的原则管理和运用基金资产，但不保证基金一定盈利，也不保证最低收益。投资者购买本公司旗下基金并不等于将资金作为存款存放在银行或存款类金融机构。敬请投资者于投资前认真阅读各基金的《基金合同》和《招募说明书》等法律文件，提请投资者注意投资风险。</w:t>
      </w: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r>
        <w:rPr>
          <w:rFonts w:hint="eastAsia" w:ascii="宋体" w:hAnsi="宋体"/>
          <w:szCs w:val="21"/>
        </w:rPr>
        <w:t>特此公告。</w:t>
      </w:r>
    </w:p>
    <w:p>
      <w:pPr>
        <w:spacing w:line="500" w:lineRule="exact"/>
        <w:ind w:firstLine="420" w:firstLineChars="200"/>
        <w:rPr>
          <w:rFonts w:ascii="宋体" w:hAnsi="宋体"/>
          <w:szCs w:val="21"/>
        </w:rPr>
      </w:pPr>
    </w:p>
    <w:p>
      <w:pPr>
        <w:spacing w:line="500" w:lineRule="exact"/>
        <w:ind w:firstLine="1050"/>
        <w:jc w:val="right"/>
        <w:rPr>
          <w:rFonts w:ascii="宋体" w:hAnsi="宋体"/>
          <w:szCs w:val="21"/>
        </w:rPr>
      </w:pPr>
      <w:r>
        <w:rPr>
          <w:rFonts w:hint="eastAsia" w:ascii="宋体" w:hAnsi="宋体"/>
          <w:szCs w:val="21"/>
        </w:rPr>
        <w:t>浦银安盛基金管理有限公司</w:t>
      </w:r>
    </w:p>
    <w:p>
      <w:pPr>
        <w:wordWrap w:val="0"/>
        <w:spacing w:line="500" w:lineRule="exact"/>
        <w:ind w:firstLine="5565" w:firstLineChars="2650"/>
        <w:jc w:val="right"/>
        <w:rPr>
          <w:rFonts w:ascii="宋体" w:hAnsi="宋体"/>
          <w:szCs w:val="21"/>
        </w:rPr>
      </w:pPr>
      <w:r>
        <w:rPr>
          <w:rFonts w:ascii="宋体" w:hAnsi="宋体"/>
          <w:szCs w:val="21"/>
        </w:rPr>
        <w:t>2019年</w:t>
      </w:r>
      <w:r>
        <w:rPr>
          <w:rFonts w:hint="eastAsia" w:ascii="宋体" w:hAnsi="宋体"/>
          <w:szCs w:val="21"/>
        </w:rPr>
        <w:t>6月2</w:t>
      </w:r>
      <w:r>
        <w:rPr>
          <w:rFonts w:ascii="宋体" w:hAnsi="宋体"/>
          <w:szCs w:val="21"/>
        </w:rPr>
        <w:t>7</w:t>
      </w:r>
      <w:r>
        <w:rPr>
          <w:rFonts w:hint="eastAsia" w:ascii="宋体" w:hAnsi="宋体"/>
          <w:szCs w:val="21"/>
        </w:rPr>
        <w:t>日</w:t>
      </w:r>
    </w:p>
    <w:sectPr>
      <w:footerReference r:id="rId3" w:type="default"/>
      <w:pgSz w:w="11906" w:h="16838"/>
      <w:pgMar w:top="1246" w:right="1531" w:bottom="1246"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E48F2"/>
    <w:multiLevelType w:val="multilevel"/>
    <w:tmpl w:val="1DAE48F2"/>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8B6"/>
    <w:rsid w:val="00007F09"/>
    <w:rsid w:val="00011E02"/>
    <w:rsid w:val="00013D4F"/>
    <w:rsid w:val="000174CE"/>
    <w:rsid w:val="000202FD"/>
    <w:rsid w:val="000251AF"/>
    <w:rsid w:val="00025A87"/>
    <w:rsid w:val="00026AA9"/>
    <w:rsid w:val="00030713"/>
    <w:rsid w:val="000329D1"/>
    <w:rsid w:val="00032C7E"/>
    <w:rsid w:val="00040628"/>
    <w:rsid w:val="00042083"/>
    <w:rsid w:val="0004529D"/>
    <w:rsid w:val="00050515"/>
    <w:rsid w:val="00065B48"/>
    <w:rsid w:val="000679F9"/>
    <w:rsid w:val="00074966"/>
    <w:rsid w:val="00084F91"/>
    <w:rsid w:val="000A1FD3"/>
    <w:rsid w:val="000B6D2A"/>
    <w:rsid w:val="000C0455"/>
    <w:rsid w:val="000C1D60"/>
    <w:rsid w:val="000C6B6A"/>
    <w:rsid w:val="000D4D94"/>
    <w:rsid w:val="000D7C64"/>
    <w:rsid w:val="000E474F"/>
    <w:rsid w:val="000E662A"/>
    <w:rsid w:val="000E7666"/>
    <w:rsid w:val="000F00EE"/>
    <w:rsid w:val="000F6182"/>
    <w:rsid w:val="0010594D"/>
    <w:rsid w:val="00106100"/>
    <w:rsid w:val="001067DD"/>
    <w:rsid w:val="001128B3"/>
    <w:rsid w:val="00113455"/>
    <w:rsid w:val="00113713"/>
    <w:rsid w:val="001229F1"/>
    <w:rsid w:val="00124DAF"/>
    <w:rsid w:val="001300BB"/>
    <w:rsid w:val="001401CC"/>
    <w:rsid w:val="001415F8"/>
    <w:rsid w:val="00144764"/>
    <w:rsid w:val="00144BC5"/>
    <w:rsid w:val="001514F0"/>
    <w:rsid w:val="001547CB"/>
    <w:rsid w:val="0015697C"/>
    <w:rsid w:val="00172A27"/>
    <w:rsid w:val="001835B0"/>
    <w:rsid w:val="00185626"/>
    <w:rsid w:val="0018663A"/>
    <w:rsid w:val="001A58AE"/>
    <w:rsid w:val="001B130C"/>
    <w:rsid w:val="001B7C8A"/>
    <w:rsid w:val="001C1A14"/>
    <w:rsid w:val="001C204F"/>
    <w:rsid w:val="001C47CD"/>
    <w:rsid w:val="001C5288"/>
    <w:rsid w:val="001C59E1"/>
    <w:rsid w:val="001D0774"/>
    <w:rsid w:val="001D6F8C"/>
    <w:rsid w:val="001E067A"/>
    <w:rsid w:val="001E2F86"/>
    <w:rsid w:val="001F1C7E"/>
    <w:rsid w:val="001F1DD6"/>
    <w:rsid w:val="00201798"/>
    <w:rsid w:val="00216FF6"/>
    <w:rsid w:val="00221CE1"/>
    <w:rsid w:val="00226F1A"/>
    <w:rsid w:val="0024135C"/>
    <w:rsid w:val="00247F53"/>
    <w:rsid w:val="00267FE7"/>
    <w:rsid w:val="00271362"/>
    <w:rsid w:val="00275BBF"/>
    <w:rsid w:val="00276738"/>
    <w:rsid w:val="00277E29"/>
    <w:rsid w:val="00280CB7"/>
    <w:rsid w:val="00284EC6"/>
    <w:rsid w:val="0028614F"/>
    <w:rsid w:val="002A5ED8"/>
    <w:rsid w:val="002A6C13"/>
    <w:rsid w:val="002B4B8C"/>
    <w:rsid w:val="002B57D2"/>
    <w:rsid w:val="002B5F13"/>
    <w:rsid w:val="002C2BA8"/>
    <w:rsid w:val="002D158C"/>
    <w:rsid w:val="002D581B"/>
    <w:rsid w:val="002E45FF"/>
    <w:rsid w:val="002E65BE"/>
    <w:rsid w:val="002E68A8"/>
    <w:rsid w:val="002E72AD"/>
    <w:rsid w:val="002F18E9"/>
    <w:rsid w:val="00300B96"/>
    <w:rsid w:val="003063C4"/>
    <w:rsid w:val="00315F90"/>
    <w:rsid w:val="0032104D"/>
    <w:rsid w:val="003219A0"/>
    <w:rsid w:val="00321DEA"/>
    <w:rsid w:val="00322F92"/>
    <w:rsid w:val="0032312D"/>
    <w:rsid w:val="00323A77"/>
    <w:rsid w:val="00333517"/>
    <w:rsid w:val="00335A53"/>
    <w:rsid w:val="003379A0"/>
    <w:rsid w:val="003415DD"/>
    <w:rsid w:val="00345522"/>
    <w:rsid w:val="003457A6"/>
    <w:rsid w:val="00351EEF"/>
    <w:rsid w:val="0036288C"/>
    <w:rsid w:val="00370BD5"/>
    <w:rsid w:val="00372657"/>
    <w:rsid w:val="00376F07"/>
    <w:rsid w:val="003770A3"/>
    <w:rsid w:val="003836B0"/>
    <w:rsid w:val="0038611E"/>
    <w:rsid w:val="003902AA"/>
    <w:rsid w:val="0039238E"/>
    <w:rsid w:val="00392DBB"/>
    <w:rsid w:val="00397FC2"/>
    <w:rsid w:val="003A1A94"/>
    <w:rsid w:val="003A36B4"/>
    <w:rsid w:val="003B5F22"/>
    <w:rsid w:val="003B776E"/>
    <w:rsid w:val="003C2938"/>
    <w:rsid w:val="003C4799"/>
    <w:rsid w:val="003C4B2D"/>
    <w:rsid w:val="003D1161"/>
    <w:rsid w:val="003D5232"/>
    <w:rsid w:val="003D7088"/>
    <w:rsid w:val="003E0D7F"/>
    <w:rsid w:val="003E1DE7"/>
    <w:rsid w:val="003E32E4"/>
    <w:rsid w:val="003E33E5"/>
    <w:rsid w:val="003E5FE5"/>
    <w:rsid w:val="003E6687"/>
    <w:rsid w:val="003E66D5"/>
    <w:rsid w:val="003F0DAF"/>
    <w:rsid w:val="003F5E53"/>
    <w:rsid w:val="003F6A8C"/>
    <w:rsid w:val="0042387C"/>
    <w:rsid w:val="00426628"/>
    <w:rsid w:val="0043104E"/>
    <w:rsid w:val="00450C91"/>
    <w:rsid w:val="00450E45"/>
    <w:rsid w:val="0045559F"/>
    <w:rsid w:val="0045606E"/>
    <w:rsid w:val="004572E9"/>
    <w:rsid w:val="00462A73"/>
    <w:rsid w:val="00471E74"/>
    <w:rsid w:val="00474B94"/>
    <w:rsid w:val="00482126"/>
    <w:rsid w:val="00483E60"/>
    <w:rsid w:val="00490454"/>
    <w:rsid w:val="004907F8"/>
    <w:rsid w:val="00493C7D"/>
    <w:rsid w:val="0049575E"/>
    <w:rsid w:val="00495B92"/>
    <w:rsid w:val="004A07F5"/>
    <w:rsid w:val="004A0E7E"/>
    <w:rsid w:val="004A2ACA"/>
    <w:rsid w:val="004B1DCA"/>
    <w:rsid w:val="004B3E28"/>
    <w:rsid w:val="004B49E7"/>
    <w:rsid w:val="004B7057"/>
    <w:rsid w:val="004C0144"/>
    <w:rsid w:val="004C0D81"/>
    <w:rsid w:val="004C1EE0"/>
    <w:rsid w:val="004C2E95"/>
    <w:rsid w:val="004D19D0"/>
    <w:rsid w:val="004D2A6F"/>
    <w:rsid w:val="004D3968"/>
    <w:rsid w:val="004D4CE0"/>
    <w:rsid w:val="004D6B72"/>
    <w:rsid w:val="004E0C04"/>
    <w:rsid w:val="004E32C2"/>
    <w:rsid w:val="004E3AD9"/>
    <w:rsid w:val="004F20E4"/>
    <w:rsid w:val="004F563E"/>
    <w:rsid w:val="004F5AD7"/>
    <w:rsid w:val="00500F14"/>
    <w:rsid w:val="00502947"/>
    <w:rsid w:val="00503AD7"/>
    <w:rsid w:val="00511CB0"/>
    <w:rsid w:val="00520043"/>
    <w:rsid w:val="00527163"/>
    <w:rsid w:val="00532AC0"/>
    <w:rsid w:val="0053373F"/>
    <w:rsid w:val="00533A0B"/>
    <w:rsid w:val="005372E6"/>
    <w:rsid w:val="0054262D"/>
    <w:rsid w:val="005464D3"/>
    <w:rsid w:val="00546D73"/>
    <w:rsid w:val="00551415"/>
    <w:rsid w:val="00553C92"/>
    <w:rsid w:val="0055670F"/>
    <w:rsid w:val="005568A3"/>
    <w:rsid w:val="00565720"/>
    <w:rsid w:val="005670DB"/>
    <w:rsid w:val="00567A8E"/>
    <w:rsid w:val="00570C84"/>
    <w:rsid w:val="0057421E"/>
    <w:rsid w:val="005753A8"/>
    <w:rsid w:val="005755A4"/>
    <w:rsid w:val="00581018"/>
    <w:rsid w:val="00583097"/>
    <w:rsid w:val="00584FAE"/>
    <w:rsid w:val="00595A0E"/>
    <w:rsid w:val="005A0789"/>
    <w:rsid w:val="005A40CA"/>
    <w:rsid w:val="005A4693"/>
    <w:rsid w:val="005B064E"/>
    <w:rsid w:val="005C5D36"/>
    <w:rsid w:val="005D01A7"/>
    <w:rsid w:val="005D2DCF"/>
    <w:rsid w:val="005D5CE8"/>
    <w:rsid w:val="005D7755"/>
    <w:rsid w:val="005E22FC"/>
    <w:rsid w:val="005E6842"/>
    <w:rsid w:val="005F103F"/>
    <w:rsid w:val="005F130C"/>
    <w:rsid w:val="005F32AA"/>
    <w:rsid w:val="0061150F"/>
    <w:rsid w:val="00611DE6"/>
    <w:rsid w:val="00621700"/>
    <w:rsid w:val="00622946"/>
    <w:rsid w:val="006304B3"/>
    <w:rsid w:val="00630B26"/>
    <w:rsid w:val="00635863"/>
    <w:rsid w:val="00637020"/>
    <w:rsid w:val="006428D1"/>
    <w:rsid w:val="00645B9B"/>
    <w:rsid w:val="006509D4"/>
    <w:rsid w:val="00653A6C"/>
    <w:rsid w:val="00654BCC"/>
    <w:rsid w:val="00660F41"/>
    <w:rsid w:val="00664466"/>
    <w:rsid w:val="00670A12"/>
    <w:rsid w:val="00676A4E"/>
    <w:rsid w:val="00683C21"/>
    <w:rsid w:val="006845A4"/>
    <w:rsid w:val="00694EAA"/>
    <w:rsid w:val="00695252"/>
    <w:rsid w:val="0069600D"/>
    <w:rsid w:val="006A2021"/>
    <w:rsid w:val="006A278D"/>
    <w:rsid w:val="006A2968"/>
    <w:rsid w:val="006A79BB"/>
    <w:rsid w:val="006B0C87"/>
    <w:rsid w:val="006B3C99"/>
    <w:rsid w:val="006C2B37"/>
    <w:rsid w:val="006C3EB8"/>
    <w:rsid w:val="006D0A08"/>
    <w:rsid w:val="006D1C4C"/>
    <w:rsid w:val="006D33D3"/>
    <w:rsid w:val="006D605A"/>
    <w:rsid w:val="006D6193"/>
    <w:rsid w:val="006F6CBC"/>
    <w:rsid w:val="006F7145"/>
    <w:rsid w:val="00701139"/>
    <w:rsid w:val="007066A5"/>
    <w:rsid w:val="00710160"/>
    <w:rsid w:val="00710A71"/>
    <w:rsid w:val="007121B0"/>
    <w:rsid w:val="007125E7"/>
    <w:rsid w:val="00720913"/>
    <w:rsid w:val="007351A7"/>
    <w:rsid w:val="0073597F"/>
    <w:rsid w:val="007374FC"/>
    <w:rsid w:val="00740D1E"/>
    <w:rsid w:val="0074302B"/>
    <w:rsid w:val="0074387A"/>
    <w:rsid w:val="007449C0"/>
    <w:rsid w:val="007449EB"/>
    <w:rsid w:val="0076392C"/>
    <w:rsid w:val="00782C24"/>
    <w:rsid w:val="00783B7B"/>
    <w:rsid w:val="00785674"/>
    <w:rsid w:val="00786C0D"/>
    <w:rsid w:val="007912C9"/>
    <w:rsid w:val="007951C0"/>
    <w:rsid w:val="00796A74"/>
    <w:rsid w:val="007A30D2"/>
    <w:rsid w:val="007A381C"/>
    <w:rsid w:val="007A3D61"/>
    <w:rsid w:val="007B6A13"/>
    <w:rsid w:val="007D2A6F"/>
    <w:rsid w:val="007D49D7"/>
    <w:rsid w:val="007D51A5"/>
    <w:rsid w:val="007E581A"/>
    <w:rsid w:val="007E61A3"/>
    <w:rsid w:val="007E784D"/>
    <w:rsid w:val="007F0044"/>
    <w:rsid w:val="007F177A"/>
    <w:rsid w:val="008037BF"/>
    <w:rsid w:val="00811C4D"/>
    <w:rsid w:val="0082097C"/>
    <w:rsid w:val="0082305F"/>
    <w:rsid w:val="0082792F"/>
    <w:rsid w:val="00827B51"/>
    <w:rsid w:val="00836771"/>
    <w:rsid w:val="00840CBF"/>
    <w:rsid w:val="008455E8"/>
    <w:rsid w:val="00847532"/>
    <w:rsid w:val="00851138"/>
    <w:rsid w:val="00857F62"/>
    <w:rsid w:val="00864A19"/>
    <w:rsid w:val="00873541"/>
    <w:rsid w:val="0087406F"/>
    <w:rsid w:val="00874E40"/>
    <w:rsid w:val="008857C2"/>
    <w:rsid w:val="00886837"/>
    <w:rsid w:val="00887C06"/>
    <w:rsid w:val="00896B81"/>
    <w:rsid w:val="00897084"/>
    <w:rsid w:val="008A2EB3"/>
    <w:rsid w:val="008B0FF6"/>
    <w:rsid w:val="008B14F9"/>
    <w:rsid w:val="008D4922"/>
    <w:rsid w:val="008E0C5E"/>
    <w:rsid w:val="008E37B0"/>
    <w:rsid w:val="008E3EFC"/>
    <w:rsid w:val="008F2E64"/>
    <w:rsid w:val="008F46F3"/>
    <w:rsid w:val="00923E12"/>
    <w:rsid w:val="00931A35"/>
    <w:rsid w:val="00931E1A"/>
    <w:rsid w:val="0093310D"/>
    <w:rsid w:val="00935C94"/>
    <w:rsid w:val="0094225D"/>
    <w:rsid w:val="00946AED"/>
    <w:rsid w:val="009510A0"/>
    <w:rsid w:val="00951D81"/>
    <w:rsid w:val="00955B40"/>
    <w:rsid w:val="00957C57"/>
    <w:rsid w:val="00957E21"/>
    <w:rsid w:val="0096037B"/>
    <w:rsid w:val="00962B0A"/>
    <w:rsid w:val="00966304"/>
    <w:rsid w:val="00977C3D"/>
    <w:rsid w:val="00980B3B"/>
    <w:rsid w:val="00980B50"/>
    <w:rsid w:val="0098531B"/>
    <w:rsid w:val="0099097C"/>
    <w:rsid w:val="009A0EA9"/>
    <w:rsid w:val="009A116F"/>
    <w:rsid w:val="009B088F"/>
    <w:rsid w:val="009B368B"/>
    <w:rsid w:val="009C0B4B"/>
    <w:rsid w:val="009C733D"/>
    <w:rsid w:val="009D24D9"/>
    <w:rsid w:val="009D4835"/>
    <w:rsid w:val="009D665C"/>
    <w:rsid w:val="009E0296"/>
    <w:rsid w:val="009E71ED"/>
    <w:rsid w:val="009F0AA3"/>
    <w:rsid w:val="009F56FE"/>
    <w:rsid w:val="00A00F44"/>
    <w:rsid w:val="00A04E55"/>
    <w:rsid w:val="00A07DED"/>
    <w:rsid w:val="00A11437"/>
    <w:rsid w:val="00A13663"/>
    <w:rsid w:val="00A17A71"/>
    <w:rsid w:val="00A2416D"/>
    <w:rsid w:val="00A317E9"/>
    <w:rsid w:val="00A31C9B"/>
    <w:rsid w:val="00A3260C"/>
    <w:rsid w:val="00A37A3D"/>
    <w:rsid w:val="00A4143E"/>
    <w:rsid w:val="00A46592"/>
    <w:rsid w:val="00A47B65"/>
    <w:rsid w:val="00A51287"/>
    <w:rsid w:val="00A529E0"/>
    <w:rsid w:val="00A609B4"/>
    <w:rsid w:val="00A6110E"/>
    <w:rsid w:val="00A76C8E"/>
    <w:rsid w:val="00A77E35"/>
    <w:rsid w:val="00A8636C"/>
    <w:rsid w:val="00A913DE"/>
    <w:rsid w:val="00A93903"/>
    <w:rsid w:val="00A94D26"/>
    <w:rsid w:val="00AA10BF"/>
    <w:rsid w:val="00AA12D9"/>
    <w:rsid w:val="00AA5736"/>
    <w:rsid w:val="00AA7EB3"/>
    <w:rsid w:val="00AB2BE1"/>
    <w:rsid w:val="00AB4611"/>
    <w:rsid w:val="00AC2A38"/>
    <w:rsid w:val="00AD02F4"/>
    <w:rsid w:val="00AD634D"/>
    <w:rsid w:val="00AD6DD3"/>
    <w:rsid w:val="00AE0784"/>
    <w:rsid w:val="00AE0957"/>
    <w:rsid w:val="00AE11BA"/>
    <w:rsid w:val="00AE56D7"/>
    <w:rsid w:val="00AE6346"/>
    <w:rsid w:val="00AE73B0"/>
    <w:rsid w:val="00AF3175"/>
    <w:rsid w:val="00AF3C13"/>
    <w:rsid w:val="00B005B6"/>
    <w:rsid w:val="00B02557"/>
    <w:rsid w:val="00B03057"/>
    <w:rsid w:val="00B03B9B"/>
    <w:rsid w:val="00B16ED7"/>
    <w:rsid w:val="00B337D9"/>
    <w:rsid w:val="00B33EB6"/>
    <w:rsid w:val="00B3511A"/>
    <w:rsid w:val="00B3625B"/>
    <w:rsid w:val="00B61F78"/>
    <w:rsid w:val="00B6252E"/>
    <w:rsid w:val="00B803D6"/>
    <w:rsid w:val="00B821FF"/>
    <w:rsid w:val="00BA157D"/>
    <w:rsid w:val="00BA5121"/>
    <w:rsid w:val="00BA5163"/>
    <w:rsid w:val="00BB0786"/>
    <w:rsid w:val="00BB3D64"/>
    <w:rsid w:val="00BC6CA8"/>
    <w:rsid w:val="00BC6F91"/>
    <w:rsid w:val="00BC74E0"/>
    <w:rsid w:val="00BD0483"/>
    <w:rsid w:val="00BD06F1"/>
    <w:rsid w:val="00BD392B"/>
    <w:rsid w:val="00BD4A63"/>
    <w:rsid w:val="00BE47C4"/>
    <w:rsid w:val="00BE738E"/>
    <w:rsid w:val="00BF34C3"/>
    <w:rsid w:val="00BF52BB"/>
    <w:rsid w:val="00BF7A77"/>
    <w:rsid w:val="00C008EE"/>
    <w:rsid w:val="00C0124C"/>
    <w:rsid w:val="00C01BD7"/>
    <w:rsid w:val="00C02886"/>
    <w:rsid w:val="00C030C4"/>
    <w:rsid w:val="00C04C97"/>
    <w:rsid w:val="00C13F89"/>
    <w:rsid w:val="00C16B2F"/>
    <w:rsid w:val="00C17D3E"/>
    <w:rsid w:val="00C257B1"/>
    <w:rsid w:val="00C33D90"/>
    <w:rsid w:val="00C3735C"/>
    <w:rsid w:val="00C378ED"/>
    <w:rsid w:val="00C43ABB"/>
    <w:rsid w:val="00C51CAD"/>
    <w:rsid w:val="00C522DB"/>
    <w:rsid w:val="00C55682"/>
    <w:rsid w:val="00C62BC0"/>
    <w:rsid w:val="00C67B49"/>
    <w:rsid w:val="00C76991"/>
    <w:rsid w:val="00CA034F"/>
    <w:rsid w:val="00CB15E1"/>
    <w:rsid w:val="00CB4D96"/>
    <w:rsid w:val="00CB6D82"/>
    <w:rsid w:val="00CC01FD"/>
    <w:rsid w:val="00CC0F79"/>
    <w:rsid w:val="00CC5D07"/>
    <w:rsid w:val="00CC6297"/>
    <w:rsid w:val="00CC6FA5"/>
    <w:rsid w:val="00CD11D1"/>
    <w:rsid w:val="00CD3311"/>
    <w:rsid w:val="00CD7681"/>
    <w:rsid w:val="00CE19D1"/>
    <w:rsid w:val="00CE44C6"/>
    <w:rsid w:val="00D006C5"/>
    <w:rsid w:val="00D026B0"/>
    <w:rsid w:val="00D07E36"/>
    <w:rsid w:val="00D1520A"/>
    <w:rsid w:val="00D15FBB"/>
    <w:rsid w:val="00D1660C"/>
    <w:rsid w:val="00D17432"/>
    <w:rsid w:val="00D17B1C"/>
    <w:rsid w:val="00D30C7F"/>
    <w:rsid w:val="00D33181"/>
    <w:rsid w:val="00D35CA0"/>
    <w:rsid w:val="00D3681C"/>
    <w:rsid w:val="00D44560"/>
    <w:rsid w:val="00D45DF9"/>
    <w:rsid w:val="00D538A0"/>
    <w:rsid w:val="00D55F17"/>
    <w:rsid w:val="00D645CD"/>
    <w:rsid w:val="00D658DC"/>
    <w:rsid w:val="00D7248B"/>
    <w:rsid w:val="00D73091"/>
    <w:rsid w:val="00D752EB"/>
    <w:rsid w:val="00D8146F"/>
    <w:rsid w:val="00D86DAB"/>
    <w:rsid w:val="00D910CB"/>
    <w:rsid w:val="00DA024E"/>
    <w:rsid w:val="00DB40BA"/>
    <w:rsid w:val="00DB6EB9"/>
    <w:rsid w:val="00DC334E"/>
    <w:rsid w:val="00DC3974"/>
    <w:rsid w:val="00DC486D"/>
    <w:rsid w:val="00DC7B02"/>
    <w:rsid w:val="00DD0F77"/>
    <w:rsid w:val="00DD22FB"/>
    <w:rsid w:val="00DD448E"/>
    <w:rsid w:val="00DD62E5"/>
    <w:rsid w:val="00DE1DB1"/>
    <w:rsid w:val="00DE3B81"/>
    <w:rsid w:val="00DE3DA8"/>
    <w:rsid w:val="00DF293E"/>
    <w:rsid w:val="00DF42A4"/>
    <w:rsid w:val="00DF7F81"/>
    <w:rsid w:val="00E0052E"/>
    <w:rsid w:val="00E05180"/>
    <w:rsid w:val="00E051F3"/>
    <w:rsid w:val="00E0702A"/>
    <w:rsid w:val="00E11A36"/>
    <w:rsid w:val="00E16272"/>
    <w:rsid w:val="00E202E9"/>
    <w:rsid w:val="00E20445"/>
    <w:rsid w:val="00E24BE1"/>
    <w:rsid w:val="00E24F25"/>
    <w:rsid w:val="00E254BA"/>
    <w:rsid w:val="00E3584E"/>
    <w:rsid w:val="00E442F1"/>
    <w:rsid w:val="00E44766"/>
    <w:rsid w:val="00E46B65"/>
    <w:rsid w:val="00E46B88"/>
    <w:rsid w:val="00E50BD6"/>
    <w:rsid w:val="00E52571"/>
    <w:rsid w:val="00E536BF"/>
    <w:rsid w:val="00E53A24"/>
    <w:rsid w:val="00E7314B"/>
    <w:rsid w:val="00E8038F"/>
    <w:rsid w:val="00E83700"/>
    <w:rsid w:val="00E86301"/>
    <w:rsid w:val="00E869F6"/>
    <w:rsid w:val="00E87621"/>
    <w:rsid w:val="00E920DF"/>
    <w:rsid w:val="00E92351"/>
    <w:rsid w:val="00E924CB"/>
    <w:rsid w:val="00E94818"/>
    <w:rsid w:val="00EA0958"/>
    <w:rsid w:val="00EA0A0D"/>
    <w:rsid w:val="00EB040B"/>
    <w:rsid w:val="00EB0A19"/>
    <w:rsid w:val="00EB1002"/>
    <w:rsid w:val="00EB46B1"/>
    <w:rsid w:val="00EB4FB6"/>
    <w:rsid w:val="00EC2EAE"/>
    <w:rsid w:val="00EC4600"/>
    <w:rsid w:val="00ED15EE"/>
    <w:rsid w:val="00ED616F"/>
    <w:rsid w:val="00ED7C54"/>
    <w:rsid w:val="00EE58A1"/>
    <w:rsid w:val="00EE6EFB"/>
    <w:rsid w:val="00EF3FD2"/>
    <w:rsid w:val="00EF43A6"/>
    <w:rsid w:val="00F000FE"/>
    <w:rsid w:val="00F126FF"/>
    <w:rsid w:val="00F12C07"/>
    <w:rsid w:val="00F20756"/>
    <w:rsid w:val="00F209BD"/>
    <w:rsid w:val="00F21849"/>
    <w:rsid w:val="00F22EDB"/>
    <w:rsid w:val="00F22FE0"/>
    <w:rsid w:val="00F23384"/>
    <w:rsid w:val="00F25068"/>
    <w:rsid w:val="00F25079"/>
    <w:rsid w:val="00F2533C"/>
    <w:rsid w:val="00F26474"/>
    <w:rsid w:val="00F270D9"/>
    <w:rsid w:val="00F303CB"/>
    <w:rsid w:val="00F30FD7"/>
    <w:rsid w:val="00F33B8E"/>
    <w:rsid w:val="00F36B7A"/>
    <w:rsid w:val="00F52AC2"/>
    <w:rsid w:val="00F60218"/>
    <w:rsid w:val="00F61B87"/>
    <w:rsid w:val="00F61CE2"/>
    <w:rsid w:val="00F62A5E"/>
    <w:rsid w:val="00F63F70"/>
    <w:rsid w:val="00F70584"/>
    <w:rsid w:val="00F7557A"/>
    <w:rsid w:val="00F83D1F"/>
    <w:rsid w:val="00F94884"/>
    <w:rsid w:val="00FB6C59"/>
    <w:rsid w:val="00FC265A"/>
    <w:rsid w:val="00FC5933"/>
    <w:rsid w:val="00FC72E5"/>
    <w:rsid w:val="00FC73ED"/>
    <w:rsid w:val="00FD0E39"/>
    <w:rsid w:val="00FD1743"/>
    <w:rsid w:val="00FD2CAD"/>
    <w:rsid w:val="00FD4C57"/>
    <w:rsid w:val="00FD6453"/>
    <w:rsid w:val="00FE202A"/>
    <w:rsid w:val="00FE4863"/>
    <w:rsid w:val="00FE60C7"/>
    <w:rsid w:val="00FF5621"/>
    <w:rsid w:val="00FF5632"/>
    <w:rsid w:val="1BCF21DD"/>
    <w:rsid w:val="27263B5B"/>
    <w:rsid w:val="423C2E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99"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uiPriority w:val="0"/>
    <w:rPr>
      <w:sz w:val="18"/>
      <w:szCs w:val="18"/>
    </w:rPr>
  </w:style>
  <w:style w:type="paragraph" w:styleId="5">
    <w:name w:val="footer"/>
    <w:basedOn w:val="1"/>
    <w:link w:val="21"/>
    <w:qFormat/>
    <w:uiPriority w:val="99"/>
    <w:pPr>
      <w:tabs>
        <w:tab w:val="center" w:pos="4153"/>
        <w:tab w:val="right" w:pos="8306"/>
      </w:tabs>
      <w:snapToGrid w:val="0"/>
      <w:jc w:val="left"/>
    </w:pPr>
    <w:rPr>
      <w:sz w:val="18"/>
      <w:szCs w:val="18"/>
    </w:rPr>
  </w:style>
  <w:style w:type="paragraph" w:styleId="6">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8">
    <w:name w:val="annotation subject"/>
    <w:basedOn w:val="3"/>
    <w:next w:val="3"/>
    <w:semiHidden/>
    <w:uiPriority w:val="0"/>
    <w:rPr>
      <w:b/>
      <w:bCs/>
    </w:rPr>
  </w:style>
  <w:style w:type="character" w:styleId="11">
    <w:name w:val="Hyperlink"/>
    <w:uiPriority w:val="0"/>
    <w:rPr>
      <w:color w:val="0000FF"/>
      <w:u w:val="single"/>
    </w:rPr>
  </w:style>
  <w:style w:type="character" w:styleId="12">
    <w:name w:val="annotation reference"/>
    <w:semiHidden/>
    <w:uiPriority w:val="0"/>
    <w:rPr>
      <w:sz w:val="21"/>
      <w:szCs w:val="21"/>
    </w:rPr>
  </w:style>
  <w:style w:type="character" w:styleId="13">
    <w:name w:val="HTML Cite"/>
    <w:unhideWhenUsed/>
    <w:uiPriority w:val="99"/>
    <w:rPr>
      <w:i/>
      <w:iCs/>
    </w:rPr>
  </w:style>
  <w:style w:type="character" w:customStyle="1" w:styleId="14">
    <w:name w:val="标题 2 字符"/>
    <w:link w:val="2"/>
    <w:uiPriority w:val="9"/>
    <w:rPr>
      <w:rFonts w:ascii="宋体" w:hAnsi="宋体" w:cs="宋体"/>
      <w:b/>
      <w:bCs/>
      <w:sz w:val="36"/>
      <w:szCs w:val="36"/>
    </w:rPr>
  </w:style>
  <w:style w:type="character" w:customStyle="1" w:styleId="15">
    <w:name w:val="16"/>
    <w:basedOn w:val="10"/>
    <w:uiPriority w:val="0"/>
  </w:style>
  <w:style w:type="character" w:customStyle="1" w:styleId="16">
    <w:name w:val="gd_a71"/>
    <w:uiPriority w:val="0"/>
    <w:rPr>
      <w:rFonts w:hint="default" w:ascii="ˎ̥" w:hAnsi="ˎ̥"/>
      <w:color w:val="0950A0"/>
      <w:sz w:val="18"/>
      <w:szCs w:val="18"/>
      <w:u w:val="none"/>
    </w:rPr>
  </w:style>
  <w:style w:type="character" w:customStyle="1" w:styleId="17">
    <w:name w:val="页眉 字符"/>
    <w:link w:val="6"/>
    <w:uiPriority w:val="0"/>
    <w:rPr>
      <w:kern w:val="2"/>
      <w:sz w:val="18"/>
      <w:szCs w:val="18"/>
    </w:rPr>
  </w:style>
  <w:style w:type="character" w:customStyle="1" w:styleId="18">
    <w:name w:val="style1"/>
    <w:basedOn w:val="10"/>
    <w:uiPriority w:val="0"/>
  </w:style>
  <w:style w:type="character" w:customStyle="1" w:styleId="19">
    <w:name w:val="15"/>
    <w:basedOn w:val="10"/>
    <w:uiPriority w:val="0"/>
  </w:style>
  <w:style w:type="character" w:customStyle="1" w:styleId="20">
    <w:name w:val="HTML 预设格式 字符"/>
    <w:link w:val="7"/>
    <w:uiPriority w:val="0"/>
    <w:rPr>
      <w:rFonts w:ascii="宋体" w:hAnsi="宋体" w:cs="宋体"/>
      <w:color w:val="000000"/>
      <w:sz w:val="24"/>
      <w:szCs w:val="24"/>
    </w:rPr>
  </w:style>
  <w:style w:type="character" w:customStyle="1" w:styleId="21">
    <w:name w:val="页脚 字符"/>
    <w:link w:val="5"/>
    <w:uiPriority w:val="99"/>
    <w:rPr>
      <w:kern w:val="2"/>
      <w:sz w:val="18"/>
      <w:szCs w:val="18"/>
    </w:rPr>
  </w:style>
  <w:style w:type="paragraph" w:customStyle="1" w:styleId="22">
    <w:name w:val="p0"/>
    <w:basedOn w:val="1"/>
    <w:uiPriority w:val="0"/>
    <w:pPr>
      <w:widowControl/>
      <w:spacing w:before="100" w:beforeAutospacing="1" w:after="100" w:afterAutospacing="1"/>
      <w:jc w:val="left"/>
    </w:pPr>
    <w:rPr>
      <w:rFonts w:ascii="宋体" w:hAnsi="宋体" w:cs="宋体"/>
      <w:kern w:val="0"/>
      <w:sz w:val="24"/>
    </w:rPr>
  </w:style>
  <w:style w:type="paragraph" w:customStyle="1" w:styleId="23">
    <w:name w:val="Char"/>
    <w:basedOn w:val="1"/>
    <w:qFormat/>
    <w:uiPriority w:val="0"/>
  </w:style>
  <w:style w:type="paragraph" w:customStyle="1" w:styleId="24">
    <w:name w:val="p17"/>
    <w:basedOn w:val="1"/>
    <w:qFormat/>
    <w:uiPriority w:val="0"/>
    <w:pPr>
      <w:widowControl/>
      <w:spacing w:before="100" w:beforeAutospacing="1" w:after="100" w:afterAutospacing="1"/>
      <w:jc w:val="left"/>
    </w:pPr>
    <w:rPr>
      <w:rFonts w:ascii="宋体" w:hAnsi="宋体" w:cs="宋体"/>
      <w:kern w:val="0"/>
      <w:sz w:val="24"/>
    </w:rPr>
  </w:style>
  <w:style w:type="character" w:customStyle="1" w:styleId="25">
    <w:name w:val="txtcontent11"/>
    <w:basedOn w:val="10"/>
    <w:qFormat/>
    <w:uiPriority w:val="0"/>
  </w:style>
  <w:style w:type="paragraph" w:customStyle="1" w:styleId="2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399729-370C-4AB3-A8BB-77658A7B11CD}">
  <ds:schemaRefs/>
</ds:datastoreItem>
</file>

<file path=docProps/app.xml><?xml version="1.0" encoding="utf-8"?>
<Properties xmlns="http://schemas.openxmlformats.org/officeDocument/2006/extended-properties" xmlns:vt="http://schemas.openxmlformats.org/officeDocument/2006/docPropsVTypes">
  <Template>Normal</Template>
  <Pages>8</Pages>
  <Words>901</Words>
  <Characters>5140</Characters>
  <Lines>42</Lines>
  <Paragraphs>12</Paragraphs>
  <TotalTime>2</TotalTime>
  <ScaleCrop>false</ScaleCrop>
  <LinksUpToDate>false</LinksUpToDate>
  <CharactersWithSpaces>6029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2019-06-24T02:52:00Z</dcterms:created>
  <dc:creator>黄莹慜</dc:creator>
  <cp:lastModifiedBy>东方财富证券</cp:lastModifiedBy>
  <cp:lastPrinted>2019-06-24T09:05:00Z</cp:lastPrinted>
  <dcterms:modified xsi:type="dcterms:W3CDTF">2019-06-25T02:44:48Z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