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C0" w:rsidRDefault="001F175E">
      <w:pPr>
        <w:widowControl/>
        <w:shd w:val="clear" w:color="auto" w:fill="FFFFFF"/>
        <w:spacing w:after="150"/>
        <w:jc w:val="center"/>
        <w:textAlignment w:val="baseline"/>
        <w:outlineLvl w:val="1"/>
        <w:rPr>
          <w:rFonts w:ascii="Arial" w:eastAsia="宋体" w:hAnsi="Arial" w:cs="Arial"/>
          <w:b/>
          <w:bCs/>
          <w:kern w:val="0"/>
          <w:sz w:val="36"/>
          <w:szCs w:val="36"/>
        </w:rPr>
      </w:pPr>
      <w:bookmarkStart w:id="0" w:name="_GoBack"/>
      <w:bookmarkEnd w:id="0"/>
      <w:r>
        <w:rPr>
          <w:rFonts w:ascii="Arial" w:eastAsia="宋体" w:hAnsi="Arial" w:cs="Arial"/>
          <w:b/>
          <w:bCs/>
          <w:kern w:val="0"/>
          <w:sz w:val="36"/>
          <w:szCs w:val="36"/>
        </w:rPr>
        <w:t>南华基金管理有限公司关于旗下基金新增</w:t>
      </w:r>
      <w:r>
        <w:rPr>
          <w:rFonts w:ascii="Arial" w:eastAsia="宋体" w:hAnsi="Arial" w:cs="Arial" w:hint="eastAsia"/>
          <w:b/>
          <w:bCs/>
          <w:kern w:val="0"/>
          <w:sz w:val="36"/>
          <w:szCs w:val="36"/>
        </w:rPr>
        <w:t>西藏东方财富证券股份有限公司</w:t>
      </w:r>
      <w:r>
        <w:rPr>
          <w:rFonts w:ascii="Arial" w:eastAsia="宋体" w:hAnsi="Arial" w:cs="Arial"/>
          <w:b/>
          <w:bCs/>
          <w:kern w:val="0"/>
          <w:sz w:val="36"/>
          <w:szCs w:val="36"/>
        </w:rPr>
        <w:t>为销售机构并参加其费率优惠的公告</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根据南华基金管理有限公司（简称</w:t>
      </w:r>
      <w:r>
        <w:rPr>
          <w:rFonts w:ascii="inherit" w:eastAsia="宋体" w:hAnsi="inherit" w:cs="Arial"/>
          <w:kern w:val="0"/>
          <w:szCs w:val="21"/>
        </w:rPr>
        <w:t>“</w:t>
      </w:r>
      <w:r>
        <w:rPr>
          <w:rFonts w:ascii="inherit" w:eastAsia="宋体" w:hAnsi="inherit" w:cs="Arial"/>
          <w:kern w:val="0"/>
          <w:szCs w:val="21"/>
        </w:rPr>
        <w:t>本公司</w:t>
      </w:r>
      <w:r>
        <w:rPr>
          <w:rFonts w:ascii="inherit" w:eastAsia="宋体" w:hAnsi="inherit" w:cs="Arial"/>
          <w:kern w:val="0"/>
          <w:szCs w:val="21"/>
        </w:rPr>
        <w:t>”</w:t>
      </w:r>
      <w:r>
        <w:rPr>
          <w:rFonts w:ascii="inherit" w:eastAsia="宋体" w:hAnsi="inherit" w:cs="Arial"/>
          <w:kern w:val="0"/>
          <w:szCs w:val="21"/>
        </w:rPr>
        <w:t>）与</w:t>
      </w:r>
      <w:r>
        <w:rPr>
          <w:rFonts w:ascii="inherit" w:eastAsia="宋体" w:hAnsi="inherit" w:cs="Arial" w:hint="eastAsia"/>
          <w:kern w:val="0"/>
          <w:szCs w:val="21"/>
        </w:rPr>
        <w:t>西藏东方财富证券股份有限公司</w:t>
      </w:r>
      <w:r>
        <w:rPr>
          <w:rFonts w:ascii="inherit" w:eastAsia="宋体" w:hAnsi="inherit" w:cs="Arial"/>
          <w:kern w:val="0"/>
          <w:szCs w:val="21"/>
        </w:rPr>
        <w:t>（简称</w:t>
      </w:r>
      <w:r>
        <w:rPr>
          <w:rFonts w:ascii="inherit" w:eastAsia="宋体" w:hAnsi="inherit" w:cs="Arial"/>
          <w:kern w:val="0"/>
          <w:szCs w:val="21"/>
        </w:rPr>
        <w:t>“</w:t>
      </w:r>
      <w:r>
        <w:rPr>
          <w:rFonts w:ascii="inherit" w:eastAsia="宋体" w:hAnsi="inherit" w:cs="Arial" w:hint="eastAsia"/>
          <w:kern w:val="0"/>
          <w:szCs w:val="21"/>
        </w:rPr>
        <w:t>东方财富证券</w:t>
      </w:r>
      <w:r>
        <w:rPr>
          <w:rFonts w:ascii="inherit" w:eastAsia="宋体" w:hAnsi="inherit" w:cs="Arial"/>
          <w:kern w:val="0"/>
          <w:szCs w:val="21"/>
        </w:rPr>
        <w:t>”</w:t>
      </w:r>
      <w:r>
        <w:rPr>
          <w:rFonts w:ascii="inherit" w:eastAsia="宋体" w:hAnsi="inherit" w:cs="Arial"/>
          <w:kern w:val="0"/>
          <w:szCs w:val="21"/>
        </w:rPr>
        <w:t>）签署的销售代理协议，经双方协商一致，自</w:t>
      </w:r>
      <w:r>
        <w:rPr>
          <w:rFonts w:ascii="inherit" w:eastAsia="宋体" w:hAnsi="inherit" w:cs="Arial"/>
          <w:kern w:val="0"/>
          <w:szCs w:val="21"/>
        </w:rPr>
        <w:t>2018</w:t>
      </w:r>
      <w:r>
        <w:rPr>
          <w:rFonts w:ascii="inherit" w:eastAsia="宋体" w:hAnsi="inherit" w:cs="Arial"/>
          <w:kern w:val="0"/>
          <w:szCs w:val="21"/>
        </w:rPr>
        <w:t>年</w:t>
      </w:r>
      <w:r>
        <w:rPr>
          <w:rFonts w:ascii="inherit" w:eastAsia="宋体" w:hAnsi="inherit" w:cs="Arial"/>
          <w:kern w:val="0"/>
          <w:szCs w:val="21"/>
        </w:rPr>
        <w:t>12</w:t>
      </w:r>
      <w:r>
        <w:rPr>
          <w:rFonts w:ascii="inherit" w:eastAsia="宋体" w:hAnsi="inherit" w:cs="Arial"/>
          <w:kern w:val="0"/>
          <w:szCs w:val="21"/>
        </w:rPr>
        <w:t>月</w:t>
      </w:r>
      <w:r>
        <w:rPr>
          <w:rFonts w:ascii="inherit" w:eastAsia="宋体" w:hAnsi="inherit" w:cs="Arial"/>
          <w:kern w:val="0"/>
          <w:szCs w:val="21"/>
        </w:rPr>
        <w:t>24</w:t>
      </w:r>
      <w:r>
        <w:rPr>
          <w:rFonts w:ascii="inherit" w:eastAsia="宋体" w:hAnsi="inherit" w:cs="Arial"/>
          <w:kern w:val="0"/>
          <w:szCs w:val="21"/>
        </w:rPr>
        <w:t>日起，</w:t>
      </w:r>
      <w:r>
        <w:rPr>
          <w:rFonts w:ascii="inherit" w:eastAsia="宋体" w:hAnsi="inherit" w:cs="Arial" w:hint="eastAsia"/>
          <w:kern w:val="0"/>
          <w:szCs w:val="21"/>
        </w:rPr>
        <w:t>东方财富证券</w:t>
      </w:r>
      <w:r>
        <w:rPr>
          <w:rFonts w:ascii="inherit" w:eastAsia="宋体" w:hAnsi="inherit" w:cs="Arial"/>
          <w:kern w:val="0"/>
          <w:szCs w:val="21"/>
        </w:rPr>
        <w:t>开始代销本公司旗下</w:t>
      </w:r>
      <w:proofErr w:type="gramStart"/>
      <w:r>
        <w:rPr>
          <w:rFonts w:ascii="inherit" w:eastAsia="宋体" w:hAnsi="inherit" w:cs="Arial"/>
          <w:kern w:val="0"/>
          <w:szCs w:val="21"/>
        </w:rPr>
        <w:t>南华瑞盈混合型</w:t>
      </w:r>
      <w:proofErr w:type="gramEnd"/>
      <w:r>
        <w:rPr>
          <w:rFonts w:ascii="inherit" w:eastAsia="宋体" w:hAnsi="inherit" w:cs="Arial"/>
          <w:kern w:val="0"/>
          <w:szCs w:val="21"/>
        </w:rPr>
        <w:t>发起式证券投资基金</w:t>
      </w:r>
      <w:r>
        <w:rPr>
          <w:rFonts w:ascii="inherit" w:eastAsia="宋体" w:hAnsi="inherit" w:cs="Arial" w:hint="eastAsia"/>
          <w:kern w:val="0"/>
          <w:szCs w:val="21"/>
        </w:rPr>
        <w:t>及</w:t>
      </w:r>
      <w:r>
        <w:rPr>
          <w:rFonts w:ascii="inherit" w:eastAsia="宋体" w:hAnsi="inherit" w:cs="Arial"/>
          <w:kern w:val="0"/>
          <w:szCs w:val="21"/>
        </w:rPr>
        <w:t>南华丰淳混合型证券投资基金</w:t>
      </w:r>
      <w:r>
        <w:rPr>
          <w:rFonts w:ascii="inherit" w:eastAsia="宋体" w:hAnsi="inherit" w:cs="Arial" w:hint="eastAsia"/>
          <w:kern w:val="0"/>
          <w:szCs w:val="21"/>
        </w:rPr>
        <w:t>。</w:t>
      </w:r>
      <w:r>
        <w:rPr>
          <w:rFonts w:ascii="inherit" w:eastAsia="宋体" w:hAnsi="inherit" w:cs="Arial"/>
          <w:kern w:val="0"/>
          <w:szCs w:val="21"/>
        </w:rPr>
        <w:t>投资者可在</w:t>
      </w:r>
      <w:r>
        <w:rPr>
          <w:rFonts w:ascii="inherit" w:eastAsia="宋体" w:hAnsi="inherit" w:cs="Arial" w:hint="eastAsia"/>
          <w:kern w:val="0"/>
          <w:szCs w:val="21"/>
        </w:rPr>
        <w:t>东方财富证券</w:t>
      </w:r>
      <w:r>
        <w:rPr>
          <w:rFonts w:ascii="inherit" w:eastAsia="宋体" w:hAnsi="inherit" w:cs="Arial"/>
          <w:kern w:val="0"/>
          <w:szCs w:val="21"/>
        </w:rPr>
        <w:t>办理</w:t>
      </w:r>
      <w:r>
        <w:rPr>
          <w:rFonts w:ascii="inherit" w:eastAsia="宋体" w:hAnsi="inherit" w:cs="Arial" w:hint="eastAsia"/>
          <w:kern w:val="0"/>
          <w:szCs w:val="21"/>
        </w:rPr>
        <w:t>上述</w:t>
      </w:r>
      <w:r>
        <w:rPr>
          <w:rFonts w:ascii="inherit" w:eastAsia="宋体" w:hAnsi="inherit" w:cs="Arial"/>
          <w:kern w:val="0"/>
          <w:szCs w:val="21"/>
        </w:rPr>
        <w:t>基金的申购、赎回</w:t>
      </w:r>
      <w:r>
        <w:rPr>
          <w:rFonts w:ascii="inherit" w:eastAsia="宋体" w:hAnsi="inherit" w:cs="Arial" w:hint="eastAsia"/>
          <w:kern w:val="0"/>
          <w:szCs w:val="21"/>
        </w:rPr>
        <w:t>及</w:t>
      </w:r>
      <w:r>
        <w:rPr>
          <w:rFonts w:ascii="inherit" w:eastAsia="宋体" w:hAnsi="inherit" w:cs="Arial"/>
          <w:kern w:val="0"/>
          <w:szCs w:val="21"/>
        </w:rPr>
        <w:t>转换</w:t>
      </w:r>
      <w:r>
        <w:rPr>
          <w:rFonts w:ascii="inherit" w:eastAsia="宋体" w:hAnsi="inherit" w:cs="Arial" w:hint="eastAsia"/>
          <w:kern w:val="0"/>
          <w:szCs w:val="21"/>
        </w:rPr>
        <w:t>业务（暂不开通定期定额投资业务）</w:t>
      </w:r>
      <w:r>
        <w:rPr>
          <w:rFonts w:ascii="inherit" w:eastAsia="宋体" w:hAnsi="inherit" w:cs="Arial"/>
          <w:kern w:val="0"/>
          <w:szCs w:val="21"/>
        </w:rPr>
        <w:t>；同时上述基金将参加</w:t>
      </w:r>
      <w:r>
        <w:rPr>
          <w:rFonts w:ascii="inherit" w:eastAsia="宋体" w:hAnsi="inherit" w:cs="Arial" w:hint="eastAsia"/>
          <w:kern w:val="0"/>
          <w:szCs w:val="21"/>
        </w:rPr>
        <w:t>东方财富证券</w:t>
      </w:r>
      <w:r>
        <w:rPr>
          <w:rFonts w:ascii="inherit" w:eastAsia="宋体" w:hAnsi="inherit" w:cs="Arial"/>
          <w:kern w:val="0"/>
          <w:szCs w:val="21"/>
        </w:rPr>
        <w:t>的申购费率优惠活动。具体情况如下：</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一、本次</w:t>
      </w:r>
      <w:r>
        <w:rPr>
          <w:rFonts w:ascii="inherit" w:eastAsia="宋体" w:hAnsi="inherit" w:cs="Arial" w:hint="eastAsia"/>
          <w:b/>
          <w:bCs/>
          <w:kern w:val="0"/>
          <w:szCs w:val="21"/>
        </w:rPr>
        <w:t>东方财富证券</w:t>
      </w:r>
      <w:r>
        <w:rPr>
          <w:rFonts w:ascii="inherit" w:eastAsia="宋体" w:hAnsi="inherit" w:cs="Arial"/>
          <w:b/>
          <w:bCs/>
          <w:kern w:val="0"/>
          <w:szCs w:val="21"/>
        </w:rPr>
        <w:t>开通申购、赎回</w:t>
      </w:r>
      <w:r>
        <w:rPr>
          <w:rFonts w:ascii="inherit" w:eastAsia="宋体" w:hAnsi="inherit" w:cs="Arial" w:hint="eastAsia"/>
          <w:b/>
          <w:bCs/>
          <w:kern w:val="0"/>
          <w:szCs w:val="21"/>
        </w:rPr>
        <w:t>及</w:t>
      </w:r>
      <w:r>
        <w:rPr>
          <w:rFonts w:ascii="inherit" w:eastAsia="宋体" w:hAnsi="inherit" w:cs="Arial"/>
          <w:b/>
          <w:bCs/>
          <w:kern w:val="0"/>
          <w:szCs w:val="21"/>
        </w:rPr>
        <w:t>转换业务的基金</w:t>
      </w:r>
    </w:p>
    <w:tbl>
      <w:tblPr>
        <w:tblW w:w="6460" w:type="dxa"/>
        <w:tblInd w:w="-10" w:type="dxa"/>
        <w:tblLayout w:type="fixed"/>
        <w:tblLook w:val="04A0" w:firstRow="1" w:lastRow="0" w:firstColumn="1" w:lastColumn="0" w:noHBand="0" w:noVBand="1"/>
      </w:tblPr>
      <w:tblGrid>
        <w:gridCol w:w="4520"/>
        <w:gridCol w:w="1940"/>
      </w:tblGrid>
      <w:tr w:rsidR="008226C0">
        <w:trPr>
          <w:trHeight w:val="300"/>
        </w:trPr>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8226C0" w:rsidRDefault="001F175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基金名称</w:t>
            </w:r>
          </w:p>
        </w:tc>
        <w:tc>
          <w:tcPr>
            <w:tcW w:w="1940" w:type="dxa"/>
            <w:tcBorders>
              <w:top w:val="single" w:sz="8" w:space="0" w:color="auto"/>
              <w:left w:val="nil"/>
              <w:bottom w:val="single" w:sz="8" w:space="0" w:color="auto"/>
              <w:right w:val="single" w:sz="8" w:space="0" w:color="auto"/>
            </w:tcBorders>
            <w:shd w:val="clear" w:color="auto" w:fill="auto"/>
            <w:vAlign w:val="center"/>
          </w:tcPr>
          <w:p w:rsidR="008226C0" w:rsidRDefault="001F175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基金代码</w:t>
            </w:r>
          </w:p>
        </w:tc>
      </w:tr>
      <w:tr w:rsidR="008226C0">
        <w:trPr>
          <w:trHeight w:val="315"/>
        </w:trPr>
        <w:tc>
          <w:tcPr>
            <w:tcW w:w="4520" w:type="dxa"/>
            <w:vMerge w:val="restart"/>
            <w:tcBorders>
              <w:top w:val="nil"/>
              <w:left w:val="single" w:sz="8" w:space="0" w:color="auto"/>
              <w:bottom w:val="single" w:sz="8" w:space="0" w:color="000000"/>
              <w:right w:val="single" w:sz="8" w:space="0" w:color="auto"/>
            </w:tcBorders>
            <w:shd w:val="clear" w:color="auto" w:fill="auto"/>
            <w:vAlign w:val="center"/>
          </w:tcPr>
          <w:p w:rsidR="008226C0" w:rsidRDefault="001F175E">
            <w:pPr>
              <w:widowControl/>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南华瑞盈混合型</w:t>
            </w:r>
            <w:proofErr w:type="gramEnd"/>
            <w:r>
              <w:rPr>
                <w:rFonts w:ascii="宋体" w:eastAsia="宋体" w:hAnsi="宋体" w:cs="宋体" w:hint="eastAsia"/>
                <w:color w:val="000000"/>
                <w:kern w:val="0"/>
                <w:sz w:val="24"/>
                <w:szCs w:val="24"/>
              </w:rPr>
              <w:t>发起式证券投资基金</w:t>
            </w:r>
          </w:p>
        </w:tc>
        <w:tc>
          <w:tcPr>
            <w:tcW w:w="1940" w:type="dxa"/>
            <w:tcBorders>
              <w:top w:val="nil"/>
              <w:left w:val="nil"/>
              <w:bottom w:val="nil"/>
              <w:right w:val="single" w:sz="8" w:space="0" w:color="auto"/>
            </w:tcBorders>
            <w:shd w:val="clear" w:color="auto" w:fill="auto"/>
            <w:vAlign w:val="center"/>
          </w:tcPr>
          <w:p w:rsidR="008226C0" w:rsidRDefault="001F175E">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A</w:t>
            </w:r>
            <w:r>
              <w:rPr>
                <w:rFonts w:ascii="宋体" w:eastAsia="宋体" w:hAnsi="宋体" w:cs="Times New Roman" w:hint="eastAsia"/>
                <w:color w:val="000000"/>
                <w:kern w:val="0"/>
                <w:sz w:val="24"/>
                <w:szCs w:val="24"/>
              </w:rPr>
              <w:t>类：</w:t>
            </w:r>
            <w:r>
              <w:rPr>
                <w:rFonts w:ascii="Times New Roman" w:eastAsia="宋体" w:hAnsi="Times New Roman" w:cs="Times New Roman"/>
                <w:color w:val="000000"/>
                <w:kern w:val="0"/>
                <w:sz w:val="24"/>
                <w:szCs w:val="24"/>
              </w:rPr>
              <w:t>004845</w:t>
            </w:r>
          </w:p>
        </w:tc>
      </w:tr>
      <w:tr w:rsidR="008226C0">
        <w:trPr>
          <w:trHeight w:val="330"/>
        </w:trPr>
        <w:tc>
          <w:tcPr>
            <w:tcW w:w="4520" w:type="dxa"/>
            <w:vMerge/>
            <w:tcBorders>
              <w:top w:val="nil"/>
              <w:left w:val="single" w:sz="8" w:space="0" w:color="auto"/>
              <w:bottom w:val="single" w:sz="8" w:space="0" w:color="000000"/>
              <w:right w:val="single" w:sz="8" w:space="0" w:color="auto"/>
            </w:tcBorders>
            <w:vAlign w:val="center"/>
          </w:tcPr>
          <w:p w:rsidR="008226C0" w:rsidRDefault="008226C0">
            <w:pPr>
              <w:widowControl/>
              <w:jc w:val="left"/>
              <w:rPr>
                <w:rFonts w:ascii="宋体" w:eastAsia="宋体" w:hAnsi="宋体" w:cs="宋体"/>
                <w:color w:val="000000"/>
                <w:kern w:val="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8226C0" w:rsidRDefault="001F175E">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C</w:t>
            </w:r>
            <w:r>
              <w:rPr>
                <w:rFonts w:ascii="宋体" w:eastAsia="宋体" w:hAnsi="宋体" w:cs="Times New Roman" w:hint="eastAsia"/>
                <w:color w:val="000000"/>
                <w:kern w:val="0"/>
                <w:sz w:val="24"/>
                <w:szCs w:val="24"/>
              </w:rPr>
              <w:t>类：</w:t>
            </w:r>
            <w:r>
              <w:rPr>
                <w:rFonts w:ascii="Times New Roman" w:eastAsia="宋体" w:hAnsi="Times New Roman" w:cs="Times New Roman"/>
                <w:color w:val="000000"/>
                <w:kern w:val="0"/>
                <w:sz w:val="24"/>
                <w:szCs w:val="24"/>
              </w:rPr>
              <w:t>004846</w:t>
            </w:r>
          </w:p>
        </w:tc>
      </w:tr>
      <w:tr w:rsidR="008226C0">
        <w:trPr>
          <w:trHeight w:val="315"/>
        </w:trPr>
        <w:tc>
          <w:tcPr>
            <w:tcW w:w="4520" w:type="dxa"/>
            <w:vMerge w:val="restart"/>
            <w:tcBorders>
              <w:top w:val="nil"/>
              <w:left w:val="single" w:sz="8" w:space="0" w:color="auto"/>
              <w:bottom w:val="single" w:sz="8" w:space="0" w:color="000000"/>
              <w:right w:val="single" w:sz="8" w:space="0" w:color="auto"/>
            </w:tcBorders>
            <w:shd w:val="clear" w:color="auto" w:fill="auto"/>
            <w:vAlign w:val="center"/>
          </w:tcPr>
          <w:p w:rsidR="008226C0" w:rsidRDefault="001F175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南华丰淳混合型证券投资基金</w:t>
            </w:r>
          </w:p>
        </w:tc>
        <w:tc>
          <w:tcPr>
            <w:tcW w:w="1940" w:type="dxa"/>
            <w:tcBorders>
              <w:top w:val="nil"/>
              <w:left w:val="nil"/>
              <w:bottom w:val="nil"/>
              <w:right w:val="single" w:sz="8" w:space="0" w:color="auto"/>
            </w:tcBorders>
            <w:shd w:val="clear" w:color="auto" w:fill="auto"/>
            <w:vAlign w:val="center"/>
          </w:tcPr>
          <w:p w:rsidR="008226C0" w:rsidRDefault="001F175E">
            <w:pPr>
              <w:widowControl/>
              <w:ind w:firstLineChars="50" w:firstLine="12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A</w:t>
            </w:r>
            <w:r>
              <w:rPr>
                <w:rFonts w:ascii="宋体" w:eastAsia="宋体" w:hAnsi="宋体" w:cs="Times New Roman" w:hint="eastAsia"/>
                <w:color w:val="000000"/>
                <w:kern w:val="0"/>
                <w:sz w:val="24"/>
                <w:szCs w:val="24"/>
              </w:rPr>
              <w:t>类：</w:t>
            </w:r>
            <w:r>
              <w:rPr>
                <w:rFonts w:ascii="Times New Roman" w:eastAsia="宋体" w:hAnsi="Times New Roman" w:cs="Times New Roman"/>
                <w:color w:val="000000"/>
                <w:kern w:val="0"/>
                <w:sz w:val="24"/>
                <w:szCs w:val="24"/>
              </w:rPr>
              <w:t>005296</w:t>
            </w:r>
          </w:p>
        </w:tc>
      </w:tr>
      <w:tr w:rsidR="008226C0">
        <w:trPr>
          <w:trHeight w:val="330"/>
        </w:trPr>
        <w:tc>
          <w:tcPr>
            <w:tcW w:w="4520" w:type="dxa"/>
            <w:vMerge/>
            <w:tcBorders>
              <w:top w:val="nil"/>
              <w:left w:val="single" w:sz="8" w:space="0" w:color="auto"/>
              <w:bottom w:val="single" w:sz="8" w:space="0" w:color="000000"/>
              <w:right w:val="single" w:sz="8" w:space="0" w:color="auto"/>
            </w:tcBorders>
            <w:vAlign w:val="center"/>
          </w:tcPr>
          <w:p w:rsidR="008226C0" w:rsidRDefault="008226C0">
            <w:pPr>
              <w:widowControl/>
              <w:jc w:val="left"/>
              <w:rPr>
                <w:rFonts w:ascii="宋体" w:eastAsia="宋体" w:hAnsi="宋体" w:cs="宋体"/>
                <w:color w:val="000000"/>
                <w:kern w:val="0"/>
                <w:sz w:val="24"/>
                <w:szCs w:val="24"/>
              </w:rPr>
            </w:pPr>
          </w:p>
        </w:tc>
        <w:tc>
          <w:tcPr>
            <w:tcW w:w="1940" w:type="dxa"/>
            <w:tcBorders>
              <w:top w:val="nil"/>
              <w:left w:val="nil"/>
              <w:bottom w:val="single" w:sz="8" w:space="0" w:color="auto"/>
              <w:right w:val="single" w:sz="8" w:space="0" w:color="auto"/>
            </w:tcBorders>
            <w:shd w:val="clear" w:color="auto" w:fill="auto"/>
            <w:vAlign w:val="center"/>
          </w:tcPr>
          <w:p w:rsidR="008226C0" w:rsidRDefault="001F175E">
            <w:pPr>
              <w:widowControl/>
              <w:ind w:firstLineChars="50" w:firstLine="12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C</w:t>
            </w:r>
            <w:r>
              <w:rPr>
                <w:rFonts w:ascii="宋体" w:eastAsia="宋体" w:hAnsi="宋体" w:cs="Times New Roman" w:hint="eastAsia"/>
                <w:color w:val="000000"/>
                <w:kern w:val="0"/>
                <w:sz w:val="24"/>
                <w:szCs w:val="24"/>
              </w:rPr>
              <w:t>类：</w:t>
            </w:r>
            <w:r>
              <w:rPr>
                <w:rFonts w:ascii="Times New Roman" w:eastAsia="宋体" w:hAnsi="Times New Roman" w:cs="Times New Roman"/>
                <w:color w:val="000000"/>
                <w:kern w:val="0"/>
                <w:sz w:val="24"/>
                <w:szCs w:val="24"/>
              </w:rPr>
              <w:t>005297</w:t>
            </w:r>
          </w:p>
        </w:tc>
      </w:tr>
    </w:tbl>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 </w:t>
      </w:r>
      <w:r>
        <w:rPr>
          <w:rFonts w:ascii="inherit" w:eastAsia="宋体" w:hAnsi="inherit" w:cs="Arial"/>
          <w:b/>
          <w:bCs/>
          <w:kern w:val="0"/>
          <w:szCs w:val="21"/>
        </w:rPr>
        <w:t>二、费率优惠活动</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1</w:t>
      </w:r>
      <w:r>
        <w:rPr>
          <w:rFonts w:ascii="inherit" w:eastAsia="宋体" w:hAnsi="inherit" w:cs="Arial"/>
          <w:kern w:val="0"/>
          <w:szCs w:val="21"/>
        </w:rPr>
        <w:t>、</w:t>
      </w:r>
      <w:r>
        <w:rPr>
          <w:rFonts w:ascii="inherit" w:eastAsia="宋体" w:hAnsi="inherit" w:cs="Arial"/>
          <w:kern w:val="0"/>
          <w:szCs w:val="21"/>
        </w:rPr>
        <w:t xml:space="preserve">  </w:t>
      </w:r>
      <w:r>
        <w:rPr>
          <w:rFonts w:ascii="inherit" w:eastAsia="宋体" w:hAnsi="inherit" w:cs="Arial"/>
          <w:kern w:val="0"/>
          <w:szCs w:val="21"/>
        </w:rPr>
        <w:t>费率优惠内容</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hint="eastAsia"/>
          <w:kern w:val="0"/>
          <w:szCs w:val="21"/>
        </w:rPr>
        <w:t>投资者通过东方财富证券网上交易办理上述相关基金的申购业务，享受原申购费率</w:t>
      </w:r>
      <w:r>
        <w:rPr>
          <w:rFonts w:ascii="inherit" w:eastAsia="宋体" w:hAnsi="inherit" w:cs="Arial"/>
          <w:kern w:val="0"/>
          <w:szCs w:val="21"/>
        </w:rPr>
        <w:t>1</w:t>
      </w:r>
      <w:r>
        <w:rPr>
          <w:rFonts w:ascii="inherit" w:eastAsia="宋体" w:hAnsi="inherit" w:cs="Arial" w:hint="eastAsia"/>
          <w:kern w:val="0"/>
          <w:szCs w:val="21"/>
        </w:rPr>
        <w:t>折优惠，原申购费率为固定费用的，则按原申购费率执行。</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hint="eastAsia"/>
          <w:kern w:val="0"/>
          <w:szCs w:val="21"/>
        </w:rPr>
        <w:t>投资者通过东方财富证券柜台办理上述相关基金的申购业务，享受原申购费率</w:t>
      </w:r>
      <w:r>
        <w:rPr>
          <w:rFonts w:ascii="inherit" w:eastAsia="宋体" w:hAnsi="inherit" w:cs="Arial"/>
          <w:kern w:val="0"/>
          <w:szCs w:val="21"/>
        </w:rPr>
        <w:t>1</w:t>
      </w:r>
      <w:r>
        <w:rPr>
          <w:rFonts w:ascii="inherit" w:eastAsia="宋体" w:hAnsi="inherit" w:cs="Arial" w:hint="eastAsia"/>
          <w:kern w:val="0"/>
          <w:szCs w:val="21"/>
        </w:rPr>
        <w:t>折优惠，原申购费率为固定费用的，则按原申购费率执行。</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2</w:t>
      </w:r>
      <w:r>
        <w:rPr>
          <w:rFonts w:ascii="inherit" w:eastAsia="宋体" w:hAnsi="inherit" w:cs="Arial"/>
          <w:kern w:val="0"/>
          <w:szCs w:val="21"/>
        </w:rPr>
        <w:t>、</w:t>
      </w:r>
      <w:r>
        <w:rPr>
          <w:rFonts w:ascii="inherit" w:eastAsia="宋体" w:hAnsi="inherit" w:cs="Arial"/>
          <w:kern w:val="0"/>
          <w:szCs w:val="21"/>
        </w:rPr>
        <w:t xml:space="preserve">  </w:t>
      </w:r>
      <w:r>
        <w:rPr>
          <w:rFonts w:ascii="inherit" w:eastAsia="宋体" w:hAnsi="inherit" w:cs="Arial"/>
          <w:kern w:val="0"/>
          <w:szCs w:val="21"/>
        </w:rPr>
        <w:t>费率优惠期限</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上述费率优惠活动自</w:t>
      </w:r>
      <w:r>
        <w:rPr>
          <w:rFonts w:ascii="inherit" w:eastAsia="宋体" w:hAnsi="inherit" w:cs="Arial"/>
          <w:kern w:val="0"/>
          <w:szCs w:val="21"/>
        </w:rPr>
        <w:t>2018</w:t>
      </w:r>
      <w:r>
        <w:rPr>
          <w:rFonts w:ascii="inherit" w:eastAsia="宋体" w:hAnsi="inherit" w:cs="Arial"/>
          <w:kern w:val="0"/>
          <w:szCs w:val="21"/>
        </w:rPr>
        <w:t>年</w:t>
      </w:r>
      <w:r>
        <w:rPr>
          <w:rFonts w:ascii="inherit" w:eastAsia="宋体" w:hAnsi="inherit" w:cs="Arial"/>
          <w:kern w:val="0"/>
          <w:szCs w:val="21"/>
        </w:rPr>
        <w:t>12</w:t>
      </w:r>
      <w:r>
        <w:rPr>
          <w:rFonts w:ascii="inherit" w:eastAsia="宋体" w:hAnsi="inherit" w:cs="Arial"/>
          <w:kern w:val="0"/>
          <w:szCs w:val="21"/>
        </w:rPr>
        <w:t>月</w:t>
      </w:r>
      <w:r>
        <w:rPr>
          <w:rFonts w:ascii="inherit" w:eastAsia="宋体" w:hAnsi="inherit" w:cs="Arial"/>
          <w:kern w:val="0"/>
          <w:szCs w:val="21"/>
        </w:rPr>
        <w:t>24</w:t>
      </w:r>
      <w:r>
        <w:rPr>
          <w:rFonts w:ascii="inherit" w:eastAsia="宋体" w:hAnsi="inherit" w:cs="Arial"/>
          <w:kern w:val="0"/>
          <w:szCs w:val="21"/>
        </w:rPr>
        <w:t>日起实施，活动结束日期以</w:t>
      </w:r>
      <w:r>
        <w:rPr>
          <w:rFonts w:ascii="inherit" w:eastAsia="宋体" w:hAnsi="inherit" w:cs="Arial" w:hint="eastAsia"/>
          <w:kern w:val="0"/>
          <w:szCs w:val="21"/>
        </w:rPr>
        <w:t>东方财富证券</w:t>
      </w:r>
      <w:r>
        <w:rPr>
          <w:rFonts w:ascii="inherit" w:eastAsia="宋体" w:hAnsi="inherit" w:cs="Arial"/>
          <w:kern w:val="0"/>
          <w:szCs w:val="21"/>
        </w:rPr>
        <w:t>的相关公告为准。</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三、有关申购</w:t>
      </w:r>
      <w:r>
        <w:rPr>
          <w:rFonts w:ascii="inherit" w:eastAsia="宋体" w:hAnsi="inherit" w:cs="Arial" w:hint="eastAsia"/>
          <w:b/>
          <w:bCs/>
          <w:kern w:val="0"/>
          <w:szCs w:val="21"/>
        </w:rPr>
        <w:t>及</w:t>
      </w:r>
      <w:r>
        <w:rPr>
          <w:rFonts w:ascii="inherit" w:eastAsia="宋体" w:hAnsi="inherit" w:cs="Arial"/>
          <w:b/>
          <w:bCs/>
          <w:kern w:val="0"/>
          <w:szCs w:val="21"/>
        </w:rPr>
        <w:t>赎回的相关说明</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基金申购、赎回业务仅适用于处于正常申购、赎回期及处于特定开放日和开放时间的基金。基金封闭期、募集期等特殊期间的有关规定详见基金相关法律文件及本公司发布的最新业务公告。</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四、投资者可通过以下途径了解或咨询相关情况：</w:t>
      </w:r>
    </w:p>
    <w:p w:rsidR="008226C0" w:rsidRDefault="001F175E">
      <w:pPr>
        <w:pStyle w:val="a8"/>
        <w:numPr>
          <w:ilvl w:val="0"/>
          <w:numId w:val="1"/>
        </w:numPr>
        <w:spacing w:line="360" w:lineRule="auto"/>
        <w:ind w:firstLineChars="0"/>
      </w:pPr>
      <w:r>
        <w:rPr>
          <w:rFonts w:hint="eastAsia"/>
        </w:rPr>
        <w:t>东方财富证券</w:t>
      </w:r>
    </w:p>
    <w:p w:rsidR="008226C0" w:rsidRDefault="001F175E">
      <w:pPr>
        <w:spacing w:line="360" w:lineRule="auto"/>
        <w:ind w:firstLineChars="200" w:firstLine="420"/>
      </w:pPr>
      <w:r>
        <w:rPr>
          <w:rFonts w:hint="eastAsia"/>
        </w:rPr>
        <w:t>客服</w:t>
      </w:r>
      <w:r>
        <w:t>电话：</w:t>
      </w:r>
      <w:r>
        <w:t>95357</w:t>
      </w:r>
    </w:p>
    <w:p w:rsidR="008226C0" w:rsidRDefault="001F175E">
      <w:pPr>
        <w:spacing w:line="360" w:lineRule="auto"/>
        <w:ind w:firstLineChars="200" w:firstLine="420"/>
      </w:pPr>
      <w:r>
        <w:rPr>
          <w:rFonts w:hint="eastAsia"/>
        </w:rPr>
        <w:lastRenderedPageBreak/>
        <w:t>公司</w:t>
      </w:r>
      <w:r>
        <w:t>网址：</w:t>
      </w:r>
      <w:r>
        <w:rPr>
          <w:rFonts w:hint="eastAsia"/>
        </w:rPr>
        <w:t>http://www.18.cn</w:t>
      </w:r>
    </w:p>
    <w:p w:rsidR="008226C0" w:rsidRDefault="001F175E">
      <w:pPr>
        <w:spacing w:line="360" w:lineRule="auto"/>
        <w:ind w:firstLineChars="200" w:firstLine="420"/>
      </w:pPr>
      <w:r>
        <w:rPr>
          <w:rFonts w:hint="eastAsia"/>
        </w:rPr>
        <w:t>2</w:t>
      </w:r>
      <w:r>
        <w:rPr>
          <w:rFonts w:hint="eastAsia"/>
        </w:rPr>
        <w:t>、本公司</w:t>
      </w:r>
    </w:p>
    <w:p w:rsidR="008226C0" w:rsidRDefault="001F175E">
      <w:pPr>
        <w:spacing w:line="360" w:lineRule="auto"/>
        <w:ind w:firstLineChars="200" w:firstLine="420"/>
      </w:pPr>
      <w:r>
        <w:rPr>
          <w:rFonts w:hint="eastAsia"/>
        </w:rPr>
        <w:t>客服</w:t>
      </w:r>
      <w:r>
        <w:t>电话：</w:t>
      </w:r>
      <w:r>
        <w:t>400-810-5599</w:t>
      </w:r>
    </w:p>
    <w:p w:rsidR="008226C0" w:rsidRDefault="001F175E">
      <w:pPr>
        <w:spacing w:line="360" w:lineRule="auto"/>
        <w:ind w:firstLineChars="200" w:firstLine="420"/>
      </w:pPr>
      <w:r>
        <w:rPr>
          <w:rFonts w:hint="eastAsia"/>
        </w:rPr>
        <w:t>公司</w:t>
      </w:r>
      <w:r>
        <w:t>网址：</w:t>
      </w:r>
      <w:r>
        <w:t>http://www.nanhuafunds.com</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 </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风险提示：</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b/>
          <w:bCs/>
          <w:kern w:val="0"/>
          <w:szCs w:val="21"/>
        </w:rPr>
        <w:t>投资者应当认真阅读《基金合同》、《招募说明书》等基金法律文件，了解基金的风险收益特征，并根据自身的投资目的、投资期限、投资经验、资产状况</w:t>
      </w:r>
      <w:proofErr w:type="gramStart"/>
      <w:r>
        <w:rPr>
          <w:rFonts w:ascii="inherit" w:eastAsia="宋体" w:hAnsi="inherit" w:cs="Arial"/>
          <w:b/>
          <w:bCs/>
          <w:kern w:val="0"/>
          <w:szCs w:val="21"/>
        </w:rPr>
        <w:t>等判断</w:t>
      </w:r>
      <w:proofErr w:type="gramEnd"/>
      <w:r>
        <w:rPr>
          <w:rFonts w:ascii="inherit" w:eastAsia="宋体" w:hAnsi="inherit" w:cs="Arial"/>
          <w:b/>
          <w:bCs/>
          <w:kern w:val="0"/>
          <w:szCs w:val="21"/>
        </w:rPr>
        <w:t>基金是否和投资者本身的风险承受能力相适应，进行理性投资。</w:t>
      </w:r>
    </w:p>
    <w:p w:rsidR="008226C0" w:rsidRDefault="008226C0">
      <w:pPr>
        <w:widowControl/>
        <w:shd w:val="clear" w:color="auto" w:fill="FFFFFF"/>
        <w:spacing w:after="150" w:line="375" w:lineRule="atLeast"/>
        <w:ind w:firstLine="480"/>
        <w:jc w:val="left"/>
        <w:textAlignment w:val="baseline"/>
        <w:rPr>
          <w:rFonts w:ascii="inherit" w:eastAsia="宋体" w:hAnsi="inherit" w:cs="Arial" w:hint="eastAsia"/>
          <w:kern w:val="0"/>
          <w:szCs w:val="21"/>
        </w:rPr>
      </w:pP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 </w:t>
      </w:r>
    </w:p>
    <w:p w:rsidR="008226C0" w:rsidRDefault="001F175E">
      <w:pPr>
        <w:widowControl/>
        <w:shd w:val="clear" w:color="auto" w:fill="FFFFFF"/>
        <w:spacing w:after="150" w:line="375" w:lineRule="atLeast"/>
        <w:ind w:firstLine="480"/>
        <w:jc w:val="right"/>
        <w:textAlignment w:val="baseline"/>
        <w:rPr>
          <w:rFonts w:ascii="inherit" w:eastAsia="宋体" w:hAnsi="inherit" w:cs="Arial" w:hint="eastAsia"/>
          <w:kern w:val="0"/>
          <w:szCs w:val="21"/>
        </w:rPr>
      </w:pPr>
      <w:r>
        <w:rPr>
          <w:rFonts w:ascii="inherit" w:eastAsia="宋体" w:hAnsi="inherit" w:cs="Arial"/>
          <w:kern w:val="0"/>
          <w:szCs w:val="21"/>
        </w:rPr>
        <w:t>特此公告</w:t>
      </w:r>
    </w:p>
    <w:p w:rsidR="008226C0" w:rsidRDefault="001F175E">
      <w:pPr>
        <w:widowControl/>
        <w:shd w:val="clear" w:color="auto" w:fill="FFFFFF"/>
        <w:spacing w:after="150" w:line="375" w:lineRule="atLeast"/>
        <w:ind w:firstLine="480"/>
        <w:jc w:val="left"/>
        <w:textAlignment w:val="baseline"/>
        <w:rPr>
          <w:rFonts w:ascii="inherit" w:eastAsia="宋体" w:hAnsi="inherit" w:cs="Arial" w:hint="eastAsia"/>
          <w:kern w:val="0"/>
          <w:szCs w:val="21"/>
        </w:rPr>
      </w:pPr>
      <w:r>
        <w:rPr>
          <w:rFonts w:ascii="inherit" w:eastAsia="宋体" w:hAnsi="inherit" w:cs="Arial"/>
          <w:kern w:val="0"/>
          <w:szCs w:val="21"/>
        </w:rPr>
        <w:t> </w:t>
      </w:r>
    </w:p>
    <w:p w:rsidR="008226C0" w:rsidRDefault="001F175E">
      <w:pPr>
        <w:widowControl/>
        <w:shd w:val="clear" w:color="auto" w:fill="FFFFFF"/>
        <w:spacing w:after="150" w:line="375" w:lineRule="atLeast"/>
        <w:ind w:firstLine="480"/>
        <w:jc w:val="right"/>
        <w:textAlignment w:val="baseline"/>
        <w:rPr>
          <w:rFonts w:ascii="inherit" w:eastAsia="宋体" w:hAnsi="inherit" w:cs="Arial" w:hint="eastAsia"/>
          <w:kern w:val="0"/>
          <w:szCs w:val="21"/>
        </w:rPr>
      </w:pPr>
      <w:r>
        <w:rPr>
          <w:rFonts w:ascii="inherit" w:eastAsia="宋体" w:hAnsi="inherit" w:cs="Arial"/>
          <w:kern w:val="0"/>
          <w:szCs w:val="21"/>
        </w:rPr>
        <w:t>南华基金管理有限公司</w:t>
      </w:r>
    </w:p>
    <w:p w:rsidR="008226C0" w:rsidRDefault="001F175E">
      <w:pPr>
        <w:widowControl/>
        <w:shd w:val="clear" w:color="auto" w:fill="FFFFFF"/>
        <w:spacing w:after="150" w:line="375" w:lineRule="atLeast"/>
        <w:ind w:firstLine="480"/>
        <w:jc w:val="right"/>
        <w:textAlignment w:val="baseline"/>
        <w:rPr>
          <w:rFonts w:ascii="inherit" w:eastAsia="宋体" w:hAnsi="inherit" w:cs="Arial" w:hint="eastAsia"/>
          <w:kern w:val="0"/>
          <w:szCs w:val="21"/>
        </w:rPr>
      </w:pPr>
      <w:r>
        <w:rPr>
          <w:rFonts w:ascii="inherit" w:eastAsia="宋体" w:hAnsi="inherit" w:cs="Arial"/>
          <w:kern w:val="0"/>
          <w:szCs w:val="21"/>
        </w:rPr>
        <w:t>2018</w:t>
      </w:r>
      <w:r>
        <w:rPr>
          <w:rFonts w:ascii="inherit" w:eastAsia="宋体" w:hAnsi="inherit" w:cs="Arial"/>
          <w:kern w:val="0"/>
          <w:szCs w:val="21"/>
        </w:rPr>
        <w:t>年</w:t>
      </w:r>
      <w:r>
        <w:rPr>
          <w:rFonts w:ascii="inherit" w:eastAsia="宋体" w:hAnsi="inherit" w:cs="Arial"/>
          <w:kern w:val="0"/>
          <w:szCs w:val="21"/>
        </w:rPr>
        <w:t>12</w:t>
      </w:r>
      <w:r>
        <w:rPr>
          <w:rFonts w:ascii="inherit" w:eastAsia="宋体" w:hAnsi="inherit" w:cs="Arial"/>
          <w:kern w:val="0"/>
          <w:szCs w:val="21"/>
        </w:rPr>
        <w:t>月</w:t>
      </w:r>
      <w:r>
        <w:rPr>
          <w:rFonts w:ascii="inherit" w:eastAsia="宋体" w:hAnsi="inherit" w:cs="Arial"/>
          <w:kern w:val="0"/>
          <w:szCs w:val="21"/>
        </w:rPr>
        <w:t>20</w:t>
      </w:r>
      <w:r>
        <w:rPr>
          <w:rFonts w:ascii="inherit" w:eastAsia="宋体" w:hAnsi="inherit" w:cs="Arial"/>
          <w:kern w:val="0"/>
          <w:szCs w:val="21"/>
        </w:rPr>
        <w:t>日</w:t>
      </w:r>
    </w:p>
    <w:p w:rsidR="008226C0" w:rsidRDefault="008226C0"/>
    <w:sectPr w:rsidR="008226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5E" w:rsidRDefault="001F175E" w:rsidP="00515967">
      <w:r>
        <w:separator/>
      </w:r>
    </w:p>
  </w:endnote>
  <w:endnote w:type="continuationSeparator" w:id="0">
    <w:p w:rsidR="001F175E" w:rsidRDefault="001F175E" w:rsidP="005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5E" w:rsidRDefault="001F175E" w:rsidP="00515967">
      <w:r>
        <w:separator/>
      </w:r>
    </w:p>
  </w:footnote>
  <w:footnote w:type="continuationSeparator" w:id="0">
    <w:p w:rsidR="001F175E" w:rsidRDefault="001F175E" w:rsidP="0051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08B"/>
    <w:multiLevelType w:val="multilevel"/>
    <w:tmpl w:val="0794608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56"/>
    <w:rsid w:val="0002026E"/>
    <w:rsid w:val="000A1BF4"/>
    <w:rsid w:val="000B4416"/>
    <w:rsid w:val="000F7DE4"/>
    <w:rsid w:val="00167CE5"/>
    <w:rsid w:val="001F175E"/>
    <w:rsid w:val="0023373F"/>
    <w:rsid w:val="00237BE6"/>
    <w:rsid w:val="002B3347"/>
    <w:rsid w:val="002C3E68"/>
    <w:rsid w:val="003109D1"/>
    <w:rsid w:val="00330616"/>
    <w:rsid w:val="00367C72"/>
    <w:rsid w:val="00367C8F"/>
    <w:rsid w:val="00375856"/>
    <w:rsid w:val="003D6CD2"/>
    <w:rsid w:val="00515967"/>
    <w:rsid w:val="005A505F"/>
    <w:rsid w:val="00685994"/>
    <w:rsid w:val="008226C0"/>
    <w:rsid w:val="00880A21"/>
    <w:rsid w:val="008B0072"/>
    <w:rsid w:val="008C3C71"/>
    <w:rsid w:val="00930721"/>
    <w:rsid w:val="00980537"/>
    <w:rsid w:val="00A43F69"/>
    <w:rsid w:val="00A455B7"/>
    <w:rsid w:val="00B069DF"/>
    <w:rsid w:val="00B90689"/>
    <w:rsid w:val="00B91182"/>
    <w:rsid w:val="00BA38BF"/>
    <w:rsid w:val="00C869BE"/>
    <w:rsid w:val="00CD13ED"/>
    <w:rsid w:val="00CE38E8"/>
    <w:rsid w:val="00D503CF"/>
    <w:rsid w:val="00DA27D3"/>
    <w:rsid w:val="00DC7014"/>
    <w:rsid w:val="00E54D3A"/>
    <w:rsid w:val="00E85864"/>
    <w:rsid w:val="00EA2AF4"/>
    <w:rsid w:val="00EB228A"/>
    <w:rsid w:val="00EC7B05"/>
    <w:rsid w:val="00F43A40"/>
    <w:rsid w:val="00F74303"/>
    <w:rsid w:val="4CEC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HP</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吴恙</dc:creator>
  <cp:lastModifiedBy>SHC</cp:lastModifiedBy>
  <cp:revision>2</cp:revision>
  <dcterms:created xsi:type="dcterms:W3CDTF">2019-04-09T05:17:00Z</dcterms:created>
  <dcterms:modified xsi:type="dcterms:W3CDTF">2019-04-09T05:17:00Z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