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57A" w:rsidRPr="001014C9" w:rsidRDefault="001014C9" w:rsidP="001014C9">
      <w:pPr>
        <w:spacing w:afterLines="50" w:after="156" w:line="360" w:lineRule="auto"/>
        <w:jc w:val="center"/>
        <w:rPr>
          <w:b/>
        </w:rPr>
      </w:pPr>
      <w:r w:rsidRPr="001014C9">
        <w:rPr>
          <w:rFonts w:hint="eastAsia"/>
          <w:b/>
        </w:rPr>
        <w:t>富安达基金管理有限公司关于旗下基金增加西藏东方财富证券股份有限公司为代销机构及参与其费率优惠活动的公告</w:t>
      </w:r>
    </w:p>
    <w:p w:rsidR="00AD457A" w:rsidRDefault="001014C9">
      <w:pPr>
        <w:spacing w:afterLines="50" w:after="156" w:line="360" w:lineRule="auto"/>
        <w:ind w:firstLineChars="200" w:firstLine="420"/>
      </w:pPr>
      <w:r>
        <w:rPr>
          <w:rFonts w:hint="eastAsia"/>
        </w:rPr>
        <w:t>根据富安达基金管理有限公司（简称“本公司”）与西藏东方财富证券股份有限公司</w:t>
      </w:r>
      <w:r>
        <w:rPr>
          <w:rFonts w:hint="eastAsia"/>
        </w:rPr>
        <w:t>(</w:t>
      </w:r>
      <w:r>
        <w:rPr>
          <w:rFonts w:hint="eastAsia"/>
        </w:rPr>
        <w:t>以下简称“东方财富证券”</w:t>
      </w:r>
      <w:r>
        <w:rPr>
          <w:rFonts w:hint="eastAsia"/>
        </w:rPr>
        <w:t>)</w:t>
      </w:r>
      <w:r>
        <w:rPr>
          <w:rFonts w:hint="eastAsia"/>
        </w:rPr>
        <w:t>签署的富安达基金管理有限公司开放式证券投资基金销售代理协议及富安达基金管理有限公司旗下基金销售补充协议，自</w:t>
      </w:r>
      <w:r>
        <w:rPr>
          <w:rFonts w:hint="eastAsia"/>
        </w:rPr>
        <w:t>2019</w:t>
      </w:r>
      <w:r>
        <w:rPr>
          <w:rFonts w:hint="eastAsia"/>
        </w:rPr>
        <w:t>年</w:t>
      </w:r>
      <w:r>
        <w:rPr>
          <w:rFonts w:hint="eastAsia"/>
        </w:rPr>
        <w:t>4</w:t>
      </w:r>
      <w:r>
        <w:rPr>
          <w:rFonts w:hint="eastAsia"/>
        </w:rPr>
        <w:t>月</w:t>
      </w:r>
      <w:r>
        <w:rPr>
          <w:rFonts w:hint="eastAsia"/>
        </w:rPr>
        <w:t>26</w:t>
      </w:r>
      <w:r>
        <w:rPr>
          <w:rFonts w:hint="eastAsia"/>
        </w:rPr>
        <w:t>日起将代理本公司旗下基金，即富安达优势成长混合型证券投资基金（</w:t>
      </w:r>
      <w:bookmarkStart w:id="0" w:name="_GoBack"/>
      <w:bookmarkEnd w:id="0"/>
      <w:r>
        <w:rPr>
          <w:rFonts w:hint="eastAsia"/>
        </w:rPr>
        <w:t>基金代码：</w:t>
      </w:r>
      <w:r>
        <w:rPr>
          <w:rFonts w:hint="eastAsia"/>
        </w:rPr>
        <w:t>710001</w:t>
      </w:r>
      <w:r>
        <w:rPr>
          <w:rFonts w:hint="eastAsia"/>
        </w:rPr>
        <w:t>）、富安达策略精选灵活配置混合型证券投资基金（基金代码：</w:t>
      </w:r>
      <w:r>
        <w:rPr>
          <w:rFonts w:hint="eastAsia"/>
        </w:rPr>
        <w:t>710002</w:t>
      </w:r>
      <w:r>
        <w:rPr>
          <w:rFonts w:hint="eastAsia"/>
        </w:rPr>
        <w:t>）、富安达增强收益债券型证券投资基金（基金代码：</w:t>
      </w:r>
      <w:r>
        <w:rPr>
          <w:rFonts w:hint="eastAsia"/>
        </w:rPr>
        <w:t>A</w:t>
      </w:r>
      <w:r>
        <w:rPr>
          <w:rFonts w:hint="eastAsia"/>
        </w:rPr>
        <w:t>类</w:t>
      </w:r>
      <w:r>
        <w:rPr>
          <w:rFonts w:hint="eastAsia"/>
        </w:rPr>
        <w:t>710301</w:t>
      </w:r>
      <w:r>
        <w:rPr>
          <w:rFonts w:hint="eastAsia"/>
        </w:rPr>
        <w:t>；</w:t>
      </w:r>
      <w:r>
        <w:rPr>
          <w:rFonts w:hint="eastAsia"/>
        </w:rPr>
        <w:t>C</w:t>
      </w:r>
      <w:r>
        <w:rPr>
          <w:rFonts w:hint="eastAsia"/>
        </w:rPr>
        <w:t>类</w:t>
      </w:r>
      <w:r>
        <w:rPr>
          <w:rFonts w:hint="eastAsia"/>
        </w:rPr>
        <w:t>710302</w:t>
      </w:r>
      <w:r>
        <w:rPr>
          <w:rFonts w:hint="eastAsia"/>
        </w:rPr>
        <w:t>）、富安达现金通货币市场证券投资基金（基金代码：</w:t>
      </w:r>
      <w:r>
        <w:rPr>
          <w:rFonts w:hint="eastAsia"/>
        </w:rPr>
        <w:t>A</w:t>
      </w:r>
      <w:r>
        <w:rPr>
          <w:rFonts w:hint="eastAsia"/>
        </w:rPr>
        <w:t>类</w:t>
      </w:r>
      <w:r>
        <w:rPr>
          <w:rFonts w:hint="eastAsia"/>
        </w:rPr>
        <w:t>710501</w:t>
      </w:r>
      <w:r>
        <w:rPr>
          <w:rFonts w:hint="eastAsia"/>
        </w:rPr>
        <w:t>；</w:t>
      </w:r>
      <w:r>
        <w:rPr>
          <w:rFonts w:hint="eastAsia"/>
        </w:rPr>
        <w:t>B</w:t>
      </w:r>
      <w:r>
        <w:rPr>
          <w:rFonts w:hint="eastAsia"/>
        </w:rPr>
        <w:t>类</w:t>
      </w:r>
      <w:r>
        <w:rPr>
          <w:rFonts w:hint="eastAsia"/>
        </w:rPr>
        <w:t>710502</w:t>
      </w:r>
      <w:r>
        <w:rPr>
          <w:rFonts w:hint="eastAsia"/>
        </w:rPr>
        <w:t>）、富安达新兴成长灵活配置混合型证券投资基金（基金代码：</w:t>
      </w:r>
      <w:r>
        <w:rPr>
          <w:rFonts w:hint="eastAsia"/>
        </w:rPr>
        <w:t>000755</w:t>
      </w:r>
      <w:r>
        <w:rPr>
          <w:rFonts w:hint="eastAsia"/>
        </w:rPr>
        <w:t>）、富安达新动力灵活配置混合型证券投资基金（基金代码：</w:t>
      </w:r>
      <w:r>
        <w:rPr>
          <w:rFonts w:hint="eastAsia"/>
        </w:rPr>
        <w:t>001659</w:t>
      </w:r>
      <w:r>
        <w:rPr>
          <w:rFonts w:hint="eastAsia"/>
        </w:rPr>
        <w:t>）及富安达健康人生灵活配置混合型证券投资基金（基金代码：</w:t>
      </w:r>
      <w:r>
        <w:rPr>
          <w:rFonts w:hint="eastAsia"/>
        </w:rPr>
        <w:t>001</w:t>
      </w:r>
      <w:r>
        <w:rPr>
          <w:rFonts w:hint="eastAsia"/>
        </w:rPr>
        <w:t>861</w:t>
      </w:r>
      <w:r>
        <w:rPr>
          <w:rFonts w:hint="eastAsia"/>
        </w:rPr>
        <w:t>）、富安达消费主题灵活配置混合型证券投资基金（基金代码：</w:t>
      </w:r>
      <w:r>
        <w:rPr>
          <w:rFonts w:hint="eastAsia"/>
        </w:rPr>
        <w:t>004549</w:t>
      </w:r>
      <w:r>
        <w:rPr>
          <w:rFonts w:hint="eastAsia"/>
        </w:rPr>
        <w:t>）、富安达长盈灵活配置混合型证券投资基金（基金代码：</w:t>
      </w:r>
      <w:r>
        <w:rPr>
          <w:rFonts w:hint="eastAsia"/>
        </w:rPr>
        <w:t>002584</w:t>
      </w:r>
      <w:r>
        <w:rPr>
          <w:rFonts w:hint="eastAsia"/>
        </w:rPr>
        <w:t>）、富安达行业轮动混合型证券投资基金（基金代码：</w:t>
      </w:r>
      <w:r>
        <w:rPr>
          <w:rFonts w:hint="eastAsia"/>
        </w:rPr>
        <w:t>001660</w:t>
      </w:r>
      <w:r>
        <w:rPr>
          <w:rFonts w:hint="eastAsia"/>
        </w:rPr>
        <w:t>）的基金销售业务。同时参加东方财富证券申购费率优惠活动。东方财富证券开放式基金代销资格已获中国证监会批准。投资者可在东方财富证券办理基金的开户、（认）申购、赎回等业务，业务办理的具体事宜请遵从该公司的相关规定。现将基金申购费率优惠活动有关事项公告如下：</w:t>
      </w:r>
    </w:p>
    <w:p w:rsidR="00AD457A" w:rsidRDefault="00AD457A">
      <w:pPr>
        <w:spacing w:afterLines="50" w:after="156" w:line="360" w:lineRule="auto"/>
        <w:ind w:firstLineChars="200" w:firstLine="420"/>
      </w:pPr>
    </w:p>
    <w:p w:rsidR="00AD457A" w:rsidRDefault="001014C9">
      <w:pPr>
        <w:spacing w:afterLines="50" w:after="156" w:line="360" w:lineRule="auto"/>
        <w:ind w:firstLineChars="200" w:firstLine="420"/>
      </w:pPr>
      <w:r>
        <w:rPr>
          <w:rFonts w:hint="eastAsia"/>
        </w:rPr>
        <w:t>一、适用投资者范围</w:t>
      </w:r>
    </w:p>
    <w:p w:rsidR="00AD457A" w:rsidRDefault="001014C9">
      <w:pPr>
        <w:spacing w:afterLines="50" w:after="156" w:line="360" w:lineRule="auto"/>
        <w:ind w:firstLineChars="200" w:firstLine="420"/>
      </w:pPr>
      <w:r>
        <w:rPr>
          <w:rFonts w:hint="eastAsia"/>
        </w:rPr>
        <w:t>适用于通过东方财富证券办理本公司指定基</w:t>
      </w:r>
      <w:r>
        <w:rPr>
          <w:rFonts w:hint="eastAsia"/>
        </w:rPr>
        <w:t>金的开户、（认）申购、赎回、转换等业务的投资者。业务申请办理时间为指定基金开放日的开放时间。</w:t>
      </w:r>
    </w:p>
    <w:p w:rsidR="00AD457A" w:rsidRDefault="00AD457A">
      <w:pPr>
        <w:spacing w:afterLines="50" w:after="156" w:line="360" w:lineRule="auto"/>
        <w:ind w:firstLineChars="200" w:firstLine="420"/>
      </w:pPr>
    </w:p>
    <w:p w:rsidR="00AD457A" w:rsidRDefault="001014C9">
      <w:pPr>
        <w:spacing w:afterLines="50" w:after="156" w:line="360" w:lineRule="auto"/>
        <w:ind w:firstLineChars="200" w:firstLine="420"/>
      </w:pPr>
      <w:r>
        <w:rPr>
          <w:rFonts w:hint="eastAsia"/>
        </w:rPr>
        <w:t>二、费率优惠方案</w:t>
      </w:r>
    </w:p>
    <w:p w:rsidR="00AD457A" w:rsidRDefault="001014C9">
      <w:pPr>
        <w:spacing w:afterLines="50" w:after="156" w:line="360" w:lineRule="auto"/>
        <w:ind w:firstLineChars="200" w:firstLine="420"/>
      </w:pPr>
      <w:r>
        <w:rPr>
          <w:rFonts w:hint="eastAsia"/>
        </w:rPr>
        <w:t>投资者通过东方财富证券申购本公司上述开放式基金，申</w:t>
      </w:r>
      <w:r>
        <w:rPr>
          <w:rFonts w:hint="eastAsia"/>
        </w:rPr>
        <w:t>(</w:t>
      </w:r>
      <w:r>
        <w:rPr>
          <w:rFonts w:hint="eastAsia"/>
        </w:rPr>
        <w:t>认</w:t>
      </w:r>
      <w:r>
        <w:rPr>
          <w:rFonts w:hint="eastAsia"/>
        </w:rPr>
        <w:t>)</w:t>
      </w:r>
      <w:r>
        <w:rPr>
          <w:rFonts w:hint="eastAsia"/>
        </w:rPr>
        <w:t>购不设折扣限制，具体折扣率以东方财富证券公示为准。费率优惠期限内，如本公司新增通过东方财富证券代销的基金产品，则自该基金产品开放申（认）购当日起，将同时开通该基金上述优惠活动。</w:t>
      </w:r>
    </w:p>
    <w:p w:rsidR="00AD457A" w:rsidRDefault="00AD457A">
      <w:pPr>
        <w:spacing w:afterLines="50" w:after="156" w:line="360" w:lineRule="auto"/>
        <w:ind w:firstLineChars="200" w:firstLine="420"/>
      </w:pPr>
    </w:p>
    <w:p w:rsidR="00AD457A" w:rsidRDefault="001014C9">
      <w:pPr>
        <w:spacing w:afterLines="50" w:after="156" w:line="360" w:lineRule="auto"/>
        <w:ind w:firstLineChars="200" w:firstLine="420"/>
      </w:pPr>
      <w:r>
        <w:rPr>
          <w:rFonts w:hint="eastAsia"/>
        </w:rPr>
        <w:t>三、基金原申购费率说明</w:t>
      </w:r>
    </w:p>
    <w:p w:rsidR="00AD457A" w:rsidRDefault="001014C9">
      <w:pPr>
        <w:spacing w:afterLines="50" w:after="156" w:line="360" w:lineRule="auto"/>
        <w:ind w:firstLineChars="200" w:firstLine="420"/>
      </w:pPr>
      <w:r>
        <w:rPr>
          <w:rFonts w:hint="eastAsia"/>
        </w:rPr>
        <w:lastRenderedPageBreak/>
        <w:t>本公司各基金原申购费率详见各基金的基金合同和招募说明书等法律文件。</w:t>
      </w:r>
    </w:p>
    <w:p w:rsidR="00AD457A" w:rsidRDefault="00AD457A">
      <w:pPr>
        <w:spacing w:afterLines="50" w:after="156" w:line="360" w:lineRule="auto"/>
        <w:ind w:firstLineChars="200" w:firstLine="420"/>
      </w:pPr>
    </w:p>
    <w:p w:rsidR="00AD457A" w:rsidRDefault="001014C9">
      <w:pPr>
        <w:spacing w:afterLines="50" w:after="156" w:line="360" w:lineRule="auto"/>
        <w:ind w:firstLineChars="200" w:firstLine="420"/>
      </w:pPr>
      <w:r>
        <w:rPr>
          <w:rFonts w:hint="eastAsia"/>
        </w:rPr>
        <w:t>四、投资者可以通过以下途径咨询有关详情：</w:t>
      </w:r>
    </w:p>
    <w:p w:rsidR="00AD457A" w:rsidRDefault="001014C9">
      <w:pPr>
        <w:spacing w:afterLines="50" w:after="156" w:line="360" w:lineRule="auto"/>
        <w:ind w:firstLineChars="200" w:firstLine="420"/>
        <w:outlineLvl w:val="0"/>
      </w:pPr>
      <w:r>
        <w:rPr>
          <w:rFonts w:hint="eastAsia"/>
        </w:rPr>
        <w:t>1</w:t>
      </w:r>
      <w:r>
        <w:rPr>
          <w:rFonts w:hint="eastAsia"/>
        </w:rPr>
        <w:t>、西藏东方财富证券股份有</w:t>
      </w:r>
      <w:r>
        <w:rPr>
          <w:rFonts w:hint="eastAsia"/>
        </w:rPr>
        <w:t>限公司</w:t>
      </w:r>
    </w:p>
    <w:p w:rsidR="00AD457A" w:rsidRDefault="001014C9">
      <w:pPr>
        <w:spacing w:afterLines="50" w:after="156" w:line="360" w:lineRule="auto"/>
        <w:ind w:firstLineChars="200" w:firstLine="420"/>
      </w:pPr>
      <w:r>
        <w:rPr>
          <w:rFonts w:hint="eastAsia"/>
        </w:rPr>
        <w:t>注册地址：西藏自治区拉萨市柳梧新区国际总部城</w:t>
      </w:r>
      <w:r>
        <w:rPr>
          <w:rFonts w:hint="eastAsia"/>
        </w:rPr>
        <w:t>10</w:t>
      </w:r>
      <w:r>
        <w:rPr>
          <w:rFonts w:hint="eastAsia"/>
        </w:rPr>
        <w:t>栋楼</w:t>
      </w:r>
      <w:r>
        <w:rPr>
          <w:rFonts w:hint="eastAsia"/>
        </w:rPr>
        <w:t xml:space="preserve"> </w:t>
      </w:r>
    </w:p>
    <w:p w:rsidR="00AD457A" w:rsidRDefault="001014C9">
      <w:pPr>
        <w:spacing w:afterLines="50" w:after="156" w:line="360" w:lineRule="auto"/>
        <w:ind w:firstLineChars="200" w:firstLine="420"/>
      </w:pPr>
      <w:r>
        <w:rPr>
          <w:rFonts w:hint="eastAsia"/>
        </w:rPr>
        <w:t>办公地址：上海市徐汇区宛平南路</w:t>
      </w:r>
      <w:r>
        <w:rPr>
          <w:rFonts w:hint="eastAsia"/>
        </w:rPr>
        <w:t>88</w:t>
      </w:r>
      <w:r>
        <w:rPr>
          <w:rFonts w:hint="eastAsia"/>
        </w:rPr>
        <w:t>号金</w:t>
      </w:r>
      <w:proofErr w:type="gramStart"/>
      <w:r>
        <w:rPr>
          <w:rFonts w:hint="eastAsia"/>
        </w:rPr>
        <w:t>座东</w:t>
      </w:r>
      <w:proofErr w:type="gramEnd"/>
      <w:r>
        <w:rPr>
          <w:rFonts w:hint="eastAsia"/>
        </w:rPr>
        <w:t>方财富大厦</w:t>
      </w:r>
    </w:p>
    <w:p w:rsidR="00AD457A" w:rsidRDefault="001014C9">
      <w:pPr>
        <w:spacing w:afterLines="50" w:after="156" w:line="360" w:lineRule="auto"/>
        <w:ind w:firstLineChars="200" w:firstLine="420"/>
      </w:pPr>
      <w:r>
        <w:rPr>
          <w:rFonts w:hint="eastAsia"/>
        </w:rPr>
        <w:t>法定代表人：陈宏</w:t>
      </w:r>
    </w:p>
    <w:p w:rsidR="00AD457A" w:rsidRDefault="001014C9">
      <w:pPr>
        <w:spacing w:afterLines="50" w:after="156" w:line="360" w:lineRule="auto"/>
        <w:ind w:firstLineChars="200" w:firstLine="420"/>
      </w:pPr>
      <w:r>
        <w:rPr>
          <w:rFonts w:hint="eastAsia"/>
        </w:rPr>
        <w:t>电话：</w:t>
      </w:r>
      <w:r>
        <w:rPr>
          <w:rFonts w:hint="eastAsia"/>
        </w:rPr>
        <w:t>021-23586603</w:t>
      </w:r>
    </w:p>
    <w:p w:rsidR="00AD457A" w:rsidRDefault="001014C9">
      <w:pPr>
        <w:spacing w:afterLines="50" w:after="156" w:line="360" w:lineRule="auto"/>
        <w:ind w:firstLineChars="200" w:firstLine="420"/>
      </w:pPr>
      <w:r>
        <w:rPr>
          <w:rFonts w:hint="eastAsia"/>
        </w:rPr>
        <w:t>传真：</w:t>
      </w:r>
      <w:r>
        <w:rPr>
          <w:rFonts w:hint="eastAsia"/>
        </w:rPr>
        <w:t>021-23586860</w:t>
      </w:r>
    </w:p>
    <w:p w:rsidR="00AD457A" w:rsidRDefault="001014C9">
      <w:pPr>
        <w:spacing w:afterLines="50" w:after="156" w:line="360" w:lineRule="auto"/>
        <w:ind w:firstLineChars="200" w:firstLine="420"/>
      </w:pPr>
      <w:r>
        <w:rPr>
          <w:rFonts w:hint="eastAsia"/>
        </w:rPr>
        <w:t>客服电话：</w:t>
      </w:r>
      <w:r>
        <w:rPr>
          <w:rFonts w:hint="eastAsia"/>
        </w:rPr>
        <w:t xml:space="preserve">95357 </w:t>
      </w:r>
    </w:p>
    <w:p w:rsidR="00AD457A" w:rsidRDefault="001014C9">
      <w:pPr>
        <w:spacing w:afterLines="50" w:after="156" w:line="360" w:lineRule="auto"/>
        <w:ind w:firstLineChars="200" w:firstLine="420"/>
      </w:pPr>
      <w:r>
        <w:rPr>
          <w:rFonts w:hint="eastAsia"/>
        </w:rPr>
        <w:t>网址：</w:t>
      </w:r>
      <w:r>
        <w:rPr>
          <w:rFonts w:hint="eastAsia"/>
        </w:rPr>
        <w:t>http://www.18.cn</w:t>
      </w:r>
      <w:r>
        <w:t xml:space="preserve"> </w:t>
      </w:r>
      <w:hyperlink w:history="1"/>
    </w:p>
    <w:p w:rsidR="00AD457A" w:rsidRDefault="001014C9">
      <w:pPr>
        <w:spacing w:afterLines="50" w:after="156" w:line="360" w:lineRule="auto"/>
        <w:ind w:firstLineChars="200" w:firstLine="420"/>
      </w:pPr>
      <w:r>
        <w:rPr>
          <w:rFonts w:hint="eastAsia"/>
        </w:rPr>
        <w:t>2</w:t>
      </w:r>
      <w:r>
        <w:rPr>
          <w:rFonts w:hint="eastAsia"/>
        </w:rPr>
        <w:t>、富安达基金管理有限公司</w:t>
      </w:r>
    </w:p>
    <w:p w:rsidR="00AD457A" w:rsidRDefault="001014C9">
      <w:pPr>
        <w:spacing w:afterLines="50" w:after="156" w:line="360" w:lineRule="auto"/>
        <w:ind w:firstLineChars="200" w:firstLine="420"/>
      </w:pPr>
      <w:r>
        <w:rPr>
          <w:rFonts w:hint="eastAsia"/>
        </w:rPr>
        <w:t>客服电话：</w:t>
      </w:r>
      <w:r>
        <w:rPr>
          <w:rFonts w:hint="eastAsia"/>
        </w:rPr>
        <w:t>400-630-6999</w:t>
      </w:r>
      <w:r>
        <w:rPr>
          <w:rFonts w:hint="eastAsia"/>
        </w:rPr>
        <w:t>（免长途话费）</w:t>
      </w:r>
    </w:p>
    <w:p w:rsidR="00AD457A" w:rsidRDefault="001014C9">
      <w:pPr>
        <w:spacing w:afterLines="50" w:after="156" w:line="360" w:lineRule="auto"/>
        <w:ind w:firstLineChars="200" w:firstLine="420"/>
      </w:pPr>
      <w:r>
        <w:rPr>
          <w:rFonts w:hint="eastAsia"/>
        </w:rPr>
        <w:t>网址：</w:t>
      </w:r>
      <w:r>
        <w:rPr>
          <w:rFonts w:hint="eastAsia"/>
        </w:rPr>
        <w:t>www.fadfunds.com</w:t>
      </w:r>
    </w:p>
    <w:p w:rsidR="00AD457A" w:rsidRDefault="00AD457A">
      <w:pPr>
        <w:spacing w:afterLines="50" w:after="156" w:line="360" w:lineRule="auto"/>
        <w:ind w:firstLineChars="200" w:firstLine="420"/>
      </w:pPr>
    </w:p>
    <w:p w:rsidR="00AD457A" w:rsidRDefault="001014C9">
      <w:pPr>
        <w:spacing w:afterLines="50" w:after="156" w:line="360" w:lineRule="auto"/>
        <w:ind w:firstLineChars="200" w:firstLine="420"/>
      </w:pPr>
      <w:r>
        <w:rPr>
          <w:rFonts w:hint="eastAsia"/>
        </w:rPr>
        <w:t>五、重要提示：</w:t>
      </w:r>
    </w:p>
    <w:p w:rsidR="00AD457A" w:rsidRDefault="001014C9">
      <w:pPr>
        <w:spacing w:afterLines="50" w:after="156" w:line="360" w:lineRule="auto"/>
        <w:ind w:firstLineChars="200" w:firstLine="420"/>
      </w:pPr>
      <w:r>
        <w:rPr>
          <w:rFonts w:hint="eastAsia"/>
        </w:rPr>
        <w:t>1.</w:t>
      </w:r>
      <w:r>
        <w:rPr>
          <w:rFonts w:hint="eastAsia"/>
        </w:rPr>
        <w:t>本公告解释权归本公司所有。</w:t>
      </w:r>
    </w:p>
    <w:p w:rsidR="00AD457A" w:rsidRDefault="001014C9">
      <w:pPr>
        <w:spacing w:afterLines="50" w:after="156" w:line="360" w:lineRule="auto"/>
        <w:ind w:firstLineChars="200" w:firstLine="420"/>
      </w:pPr>
      <w:r>
        <w:rPr>
          <w:rFonts w:hint="eastAsia"/>
        </w:rPr>
        <w:t>2.</w:t>
      </w:r>
      <w:r>
        <w:rPr>
          <w:rFonts w:hint="eastAsia"/>
        </w:rPr>
        <w:t>投资者欲了解详细信息，请仔细阅读相关产品的基金合同、招募说明书和《富安达基金管理有限公司开放式基金登记结算业务规则》。</w:t>
      </w:r>
    </w:p>
    <w:p w:rsidR="00AD457A" w:rsidRDefault="001014C9">
      <w:pPr>
        <w:spacing w:afterLines="50" w:after="156" w:line="360" w:lineRule="auto"/>
        <w:ind w:firstLineChars="200" w:firstLine="420"/>
      </w:pPr>
      <w:r>
        <w:rPr>
          <w:rFonts w:hint="eastAsia"/>
        </w:rPr>
        <w:t>3.</w:t>
      </w:r>
      <w:r>
        <w:rPr>
          <w:rFonts w:hint="eastAsia"/>
        </w:rPr>
        <w:t>风险提示：本公司承诺以诚实信用、勤勉尽责的原则管理和运用基金资产，但不保证基金一定盈利，也不保证最低收益。请投资者投资上述基金前认真阅读基金合同和招募说明书，并根据自身风险承受能力选择适合自己的基金产品。敬请投资者注意投资风险。</w:t>
      </w:r>
    </w:p>
    <w:p w:rsidR="00AD457A" w:rsidRDefault="001014C9">
      <w:pPr>
        <w:spacing w:afterLines="50" w:after="156" w:line="360" w:lineRule="auto"/>
        <w:ind w:firstLineChars="200" w:firstLine="420"/>
      </w:pPr>
      <w:r>
        <w:rPr>
          <w:rFonts w:hint="eastAsia"/>
        </w:rPr>
        <w:t>特此公告。</w:t>
      </w:r>
    </w:p>
    <w:p w:rsidR="00AD457A" w:rsidRDefault="001014C9">
      <w:pPr>
        <w:spacing w:afterLines="50" w:after="156" w:line="360" w:lineRule="auto"/>
        <w:ind w:firstLineChars="200" w:firstLine="420"/>
        <w:jc w:val="right"/>
      </w:pPr>
      <w:r>
        <w:rPr>
          <w:rFonts w:hint="eastAsia"/>
        </w:rPr>
        <w:lastRenderedPageBreak/>
        <w:t>富安达基金管理有限公司</w:t>
      </w:r>
    </w:p>
    <w:p w:rsidR="00AD457A" w:rsidRDefault="001014C9">
      <w:pPr>
        <w:spacing w:afterLines="50" w:after="156" w:line="360" w:lineRule="auto"/>
        <w:ind w:firstLineChars="200" w:firstLine="420"/>
        <w:jc w:val="right"/>
      </w:pPr>
      <w:r>
        <w:rPr>
          <w:rFonts w:hint="eastAsia"/>
        </w:rPr>
        <w:t>2019</w:t>
      </w:r>
      <w:r>
        <w:rPr>
          <w:rFonts w:hint="eastAsia"/>
        </w:rPr>
        <w:t>年</w:t>
      </w:r>
      <w:r>
        <w:rPr>
          <w:rFonts w:hint="eastAsia"/>
        </w:rPr>
        <w:t>4</w:t>
      </w:r>
      <w:r>
        <w:rPr>
          <w:rFonts w:hint="eastAsia"/>
        </w:rPr>
        <w:t>月</w:t>
      </w:r>
      <w:r>
        <w:rPr>
          <w:rFonts w:hint="eastAsia"/>
        </w:rPr>
        <w:t>26</w:t>
      </w:r>
      <w:r>
        <w:rPr>
          <w:rFonts w:hint="eastAsia"/>
        </w:rPr>
        <w:t>日</w:t>
      </w:r>
    </w:p>
    <w:sectPr w:rsidR="00AD45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B064D"/>
    <w:multiLevelType w:val="multilevel"/>
    <w:tmpl w:val="1A7B064D"/>
    <w:lvl w:ilvl="0">
      <w:start w:val="1"/>
      <w:numFmt w:val="chineseCountingThousand"/>
      <w:pStyle w:val="a"/>
      <w:lvlText w:val="第%1节"/>
      <w:lvlJc w:val="center"/>
      <w:pPr>
        <w:ind w:left="4112" w:firstLine="0"/>
      </w:pPr>
      <w:rPr>
        <w:rFonts w:hint="eastAsia"/>
        <w:b/>
      </w:rPr>
    </w:lvl>
    <w:lvl w:ilvl="1">
      <w:start w:val="1"/>
      <w:numFmt w:val="lowerLetter"/>
      <w:lvlText w:val="%2)"/>
      <w:lvlJc w:val="left"/>
      <w:pPr>
        <w:ind w:left="-3412" w:hanging="420"/>
      </w:pPr>
      <w:rPr>
        <w:rFonts w:hint="eastAsia"/>
      </w:rPr>
    </w:lvl>
    <w:lvl w:ilvl="2">
      <w:start w:val="1"/>
      <w:numFmt w:val="lowerRoman"/>
      <w:lvlText w:val="%3."/>
      <w:lvlJc w:val="right"/>
      <w:pPr>
        <w:ind w:left="-2992" w:hanging="420"/>
      </w:pPr>
      <w:rPr>
        <w:rFonts w:hint="eastAsia"/>
      </w:rPr>
    </w:lvl>
    <w:lvl w:ilvl="3">
      <w:start w:val="1"/>
      <w:numFmt w:val="decimal"/>
      <w:lvlText w:val="%4."/>
      <w:lvlJc w:val="left"/>
      <w:pPr>
        <w:ind w:left="-2572" w:hanging="420"/>
      </w:pPr>
      <w:rPr>
        <w:rFonts w:hint="eastAsia"/>
      </w:rPr>
    </w:lvl>
    <w:lvl w:ilvl="4">
      <w:start w:val="1"/>
      <w:numFmt w:val="lowerLetter"/>
      <w:lvlText w:val="%5)"/>
      <w:lvlJc w:val="left"/>
      <w:pPr>
        <w:ind w:left="-2152" w:hanging="420"/>
      </w:pPr>
      <w:rPr>
        <w:rFonts w:hint="eastAsia"/>
      </w:rPr>
    </w:lvl>
    <w:lvl w:ilvl="5">
      <w:start w:val="1"/>
      <w:numFmt w:val="lowerRoman"/>
      <w:lvlText w:val="%6."/>
      <w:lvlJc w:val="right"/>
      <w:pPr>
        <w:ind w:left="-1732" w:hanging="420"/>
      </w:pPr>
      <w:rPr>
        <w:rFonts w:hint="eastAsia"/>
      </w:rPr>
    </w:lvl>
    <w:lvl w:ilvl="6">
      <w:start w:val="1"/>
      <w:numFmt w:val="decimal"/>
      <w:lvlText w:val="%7."/>
      <w:lvlJc w:val="left"/>
      <w:pPr>
        <w:ind w:left="-1312" w:hanging="420"/>
      </w:pPr>
      <w:rPr>
        <w:rFonts w:hint="eastAsia"/>
      </w:rPr>
    </w:lvl>
    <w:lvl w:ilvl="7">
      <w:start w:val="1"/>
      <w:numFmt w:val="lowerLetter"/>
      <w:lvlText w:val="%8)"/>
      <w:lvlJc w:val="left"/>
      <w:pPr>
        <w:ind w:left="-892" w:hanging="420"/>
      </w:pPr>
      <w:rPr>
        <w:rFonts w:hint="eastAsia"/>
      </w:rPr>
    </w:lvl>
    <w:lvl w:ilvl="8">
      <w:start w:val="1"/>
      <w:numFmt w:val="lowerRoman"/>
      <w:lvlText w:val="%9."/>
      <w:lvlJc w:val="right"/>
      <w:pPr>
        <w:ind w:left="-472"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C3C1A"/>
    <w:rsid w:val="000674A4"/>
    <w:rsid w:val="000925AB"/>
    <w:rsid w:val="00092968"/>
    <w:rsid w:val="00094BA0"/>
    <w:rsid w:val="000C3C1A"/>
    <w:rsid w:val="000D6E24"/>
    <w:rsid w:val="000F4742"/>
    <w:rsid w:val="001014C9"/>
    <w:rsid w:val="001334E6"/>
    <w:rsid w:val="00134228"/>
    <w:rsid w:val="00141648"/>
    <w:rsid w:val="0015438D"/>
    <w:rsid w:val="001A79B2"/>
    <w:rsid w:val="001C4968"/>
    <w:rsid w:val="001D1E6A"/>
    <w:rsid w:val="00222947"/>
    <w:rsid w:val="0022339D"/>
    <w:rsid w:val="0024364A"/>
    <w:rsid w:val="0028167B"/>
    <w:rsid w:val="002B077F"/>
    <w:rsid w:val="002E0089"/>
    <w:rsid w:val="002E5DFD"/>
    <w:rsid w:val="002E7EF7"/>
    <w:rsid w:val="00353CE7"/>
    <w:rsid w:val="003E777A"/>
    <w:rsid w:val="0048101C"/>
    <w:rsid w:val="004A430F"/>
    <w:rsid w:val="004C3374"/>
    <w:rsid w:val="004E0B97"/>
    <w:rsid w:val="004E52E4"/>
    <w:rsid w:val="00523FAF"/>
    <w:rsid w:val="00543FD8"/>
    <w:rsid w:val="00557974"/>
    <w:rsid w:val="005A0BBD"/>
    <w:rsid w:val="005B6281"/>
    <w:rsid w:val="00691422"/>
    <w:rsid w:val="00695394"/>
    <w:rsid w:val="0070294F"/>
    <w:rsid w:val="007243A0"/>
    <w:rsid w:val="00744D13"/>
    <w:rsid w:val="00756CF4"/>
    <w:rsid w:val="008055C8"/>
    <w:rsid w:val="00814A10"/>
    <w:rsid w:val="00897C74"/>
    <w:rsid w:val="008A394D"/>
    <w:rsid w:val="008C6A4B"/>
    <w:rsid w:val="00956D68"/>
    <w:rsid w:val="00A57CE1"/>
    <w:rsid w:val="00A63508"/>
    <w:rsid w:val="00A65B17"/>
    <w:rsid w:val="00AA3B79"/>
    <w:rsid w:val="00AA46D1"/>
    <w:rsid w:val="00AD457A"/>
    <w:rsid w:val="00AD546A"/>
    <w:rsid w:val="00B028A9"/>
    <w:rsid w:val="00B20B9A"/>
    <w:rsid w:val="00C140A7"/>
    <w:rsid w:val="00C44CC6"/>
    <w:rsid w:val="00CD0521"/>
    <w:rsid w:val="00CE6D5E"/>
    <w:rsid w:val="00D12265"/>
    <w:rsid w:val="00D5098E"/>
    <w:rsid w:val="00DA4436"/>
    <w:rsid w:val="00DD6B26"/>
    <w:rsid w:val="00E33C7F"/>
    <w:rsid w:val="00E50D03"/>
    <w:rsid w:val="00E74A05"/>
    <w:rsid w:val="00E82284"/>
    <w:rsid w:val="00E91E1F"/>
    <w:rsid w:val="00E92D66"/>
    <w:rsid w:val="00ED19F4"/>
    <w:rsid w:val="00F01F5A"/>
    <w:rsid w:val="00F127AC"/>
    <w:rsid w:val="00F41012"/>
    <w:rsid w:val="00F61886"/>
    <w:rsid w:val="41B77AA9"/>
    <w:rsid w:val="53007CC3"/>
    <w:rsid w:val="5CB44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17B547-A869-44A0-8F31-C006DA5C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2"/>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0"/>
    <w:link w:val="Char"/>
    <w:uiPriority w:val="99"/>
    <w:semiHidden/>
    <w:unhideWhenUsed/>
    <w:rPr>
      <w:rFonts w:ascii="宋体" w:eastAsia="宋体"/>
      <w:sz w:val="18"/>
      <w:szCs w:val="18"/>
    </w:rPr>
  </w:style>
  <w:style w:type="paragraph" w:styleId="a5">
    <w:name w:val="Body Text"/>
    <w:basedOn w:val="a0"/>
    <w:link w:val="Char0"/>
    <w:uiPriority w:val="1"/>
    <w:qFormat/>
    <w:pPr>
      <w:autoSpaceDE w:val="0"/>
      <w:autoSpaceDN w:val="0"/>
      <w:spacing w:before="48"/>
      <w:ind w:left="111"/>
      <w:jc w:val="left"/>
    </w:pPr>
    <w:rPr>
      <w:rFonts w:ascii="仿宋" w:eastAsia="仿宋" w:hAnsi="仿宋" w:cs="仿宋"/>
      <w:kern w:val="0"/>
      <w:sz w:val="32"/>
      <w:szCs w:val="32"/>
      <w:lang w:eastAsia="en-US"/>
    </w:rPr>
  </w:style>
  <w:style w:type="paragraph" w:styleId="a6">
    <w:name w:val="Balloon Text"/>
    <w:basedOn w:val="a0"/>
    <w:link w:val="Char1"/>
    <w:uiPriority w:val="99"/>
    <w:semiHidden/>
    <w:unhideWhenUsed/>
    <w:rPr>
      <w:sz w:val="18"/>
      <w:szCs w:val="18"/>
    </w:rPr>
  </w:style>
  <w:style w:type="paragraph" w:styleId="a7">
    <w:name w:val="footer"/>
    <w:basedOn w:val="a0"/>
    <w:link w:val="Char2"/>
    <w:uiPriority w:val="99"/>
    <w:unhideWhenUsed/>
    <w:pPr>
      <w:tabs>
        <w:tab w:val="center" w:pos="4153"/>
        <w:tab w:val="right" w:pos="8306"/>
      </w:tabs>
      <w:snapToGrid w:val="0"/>
      <w:jc w:val="left"/>
    </w:pPr>
    <w:rPr>
      <w:sz w:val="18"/>
      <w:szCs w:val="18"/>
    </w:rPr>
  </w:style>
  <w:style w:type="paragraph" w:styleId="a8">
    <w:name w:val="header"/>
    <w:basedOn w:val="a0"/>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0"/>
    <w:next w:val="a0"/>
    <w:uiPriority w:val="39"/>
    <w:unhideWhenUsed/>
    <w:qFormat/>
    <w:pPr>
      <w:widowControl/>
      <w:tabs>
        <w:tab w:val="left" w:pos="1260"/>
        <w:tab w:val="right" w:leader="dot" w:pos="9346"/>
      </w:tabs>
      <w:spacing w:line="440" w:lineRule="exact"/>
      <w:jc w:val="left"/>
    </w:pPr>
    <w:rPr>
      <w:kern w:val="0"/>
      <w:sz w:val="22"/>
    </w:rPr>
  </w:style>
  <w:style w:type="paragraph" w:styleId="a">
    <w:name w:val="Title"/>
    <w:basedOn w:val="a0"/>
    <w:next w:val="a0"/>
    <w:link w:val="Char4"/>
    <w:uiPriority w:val="10"/>
    <w:qFormat/>
    <w:pPr>
      <w:numPr>
        <w:numId w:val="1"/>
      </w:numPr>
      <w:spacing w:before="240" w:after="60"/>
      <w:jc w:val="center"/>
      <w:outlineLvl w:val="0"/>
    </w:pPr>
    <w:rPr>
      <w:rFonts w:ascii="Cambria" w:eastAsia="仿宋" w:hAnsi="Cambria" w:cs="Times New Roman"/>
      <w:b/>
      <w:bCs/>
      <w:sz w:val="24"/>
      <w:szCs w:val="32"/>
    </w:rPr>
  </w:style>
  <w:style w:type="character" w:styleId="a9">
    <w:name w:val="Strong"/>
    <w:basedOn w:val="a1"/>
    <w:uiPriority w:val="22"/>
    <w:qFormat/>
    <w:rPr>
      <w:b/>
      <w:bCs/>
    </w:rPr>
  </w:style>
  <w:style w:type="character" w:styleId="aa">
    <w:name w:val="Hyperlink"/>
    <w:basedOn w:val="a1"/>
    <w:uiPriority w:val="99"/>
    <w:unhideWhenUsed/>
    <w:qFormat/>
    <w:rPr>
      <w:color w:val="0000FF" w:themeColor="hyperlink"/>
      <w:u w:val="single"/>
    </w:rPr>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rPr>
      <w:b/>
      <w:bCs/>
      <w:sz w:val="32"/>
      <w:szCs w:val="32"/>
    </w:rPr>
  </w:style>
  <w:style w:type="character" w:customStyle="1" w:styleId="Char4">
    <w:name w:val="标题 Char"/>
    <w:basedOn w:val="a1"/>
    <w:link w:val="a"/>
    <w:uiPriority w:val="10"/>
    <w:qFormat/>
    <w:rPr>
      <w:rFonts w:ascii="Cambria" w:eastAsia="仿宋" w:hAnsi="Cambria" w:cs="Times New Roman"/>
      <w:b/>
      <w:bCs/>
      <w:sz w:val="24"/>
      <w:szCs w:val="32"/>
    </w:rPr>
  </w:style>
  <w:style w:type="character" w:customStyle="1" w:styleId="Char0">
    <w:name w:val="正文文本 Char"/>
    <w:basedOn w:val="a1"/>
    <w:link w:val="a5"/>
    <w:uiPriority w:val="1"/>
    <w:qFormat/>
    <w:rPr>
      <w:rFonts w:ascii="仿宋" w:eastAsia="仿宋" w:hAnsi="仿宋" w:cs="仿宋"/>
      <w:kern w:val="0"/>
      <w:sz w:val="32"/>
      <w:szCs w:val="32"/>
      <w:lang w:eastAsia="en-US"/>
    </w:rPr>
  </w:style>
  <w:style w:type="paragraph" w:styleId="ab">
    <w:name w:val="List Paragraph"/>
    <w:basedOn w:val="a0"/>
    <w:uiPriority w:val="99"/>
    <w:qFormat/>
    <w:pPr>
      <w:widowControl/>
      <w:spacing w:line="540" w:lineRule="exact"/>
      <w:ind w:firstLineChars="200" w:firstLine="420"/>
      <w:jc w:val="left"/>
    </w:pPr>
    <w:rPr>
      <w:rFonts w:ascii="Calibri" w:eastAsia="宋体" w:hAnsi="Calibri" w:cs="Times New Roman"/>
    </w:rPr>
  </w:style>
  <w:style w:type="paragraph" w:customStyle="1" w:styleId="TOC1">
    <w:name w:val="TOC 标题1"/>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11">
    <w:name w:val="目录 11"/>
    <w:basedOn w:val="a0"/>
    <w:uiPriority w:val="1"/>
    <w:qFormat/>
    <w:pPr>
      <w:autoSpaceDE w:val="0"/>
      <w:autoSpaceDN w:val="0"/>
      <w:spacing w:before="99"/>
      <w:ind w:left="111"/>
      <w:jc w:val="left"/>
    </w:pPr>
    <w:rPr>
      <w:rFonts w:ascii="仿宋" w:eastAsia="仿宋" w:hAnsi="仿宋" w:cs="仿宋"/>
      <w:b/>
      <w:bCs/>
      <w:kern w:val="0"/>
      <w:sz w:val="24"/>
      <w:szCs w:val="24"/>
      <w:lang w:eastAsia="en-US"/>
    </w:rPr>
  </w:style>
  <w:style w:type="paragraph" w:customStyle="1" w:styleId="110">
    <w:name w:val="标题 11"/>
    <w:basedOn w:val="a0"/>
    <w:uiPriority w:val="1"/>
    <w:qFormat/>
    <w:pPr>
      <w:autoSpaceDE w:val="0"/>
      <w:autoSpaceDN w:val="0"/>
      <w:ind w:left="3786"/>
      <w:jc w:val="center"/>
      <w:outlineLvl w:val="1"/>
    </w:pPr>
    <w:rPr>
      <w:rFonts w:ascii="仿宋" w:eastAsia="仿宋" w:hAnsi="仿宋" w:cs="仿宋"/>
      <w:b/>
      <w:bCs/>
      <w:kern w:val="0"/>
      <w:sz w:val="32"/>
      <w:szCs w:val="32"/>
      <w:lang w:eastAsia="en-US"/>
    </w:rPr>
  </w:style>
  <w:style w:type="paragraph" w:customStyle="1" w:styleId="TableParagraph">
    <w:name w:val="Table Paragraph"/>
    <w:basedOn w:val="a0"/>
    <w:uiPriority w:val="1"/>
    <w:qFormat/>
    <w:pPr>
      <w:autoSpaceDE w:val="0"/>
      <w:autoSpaceDN w:val="0"/>
      <w:jc w:val="left"/>
    </w:pPr>
    <w:rPr>
      <w:rFonts w:ascii="宋体" w:eastAsia="宋体" w:hAnsi="宋体" w:cs="宋体"/>
      <w:kern w:val="0"/>
      <w:sz w:val="22"/>
      <w:lang w:eastAsia="en-US"/>
    </w:rPr>
  </w:style>
  <w:style w:type="paragraph" w:customStyle="1" w:styleId="12">
    <w:name w:val="列出段落1"/>
    <w:basedOn w:val="a0"/>
    <w:qFormat/>
    <w:pPr>
      <w:spacing w:before="120" w:after="120"/>
      <w:ind w:firstLineChars="200" w:firstLine="420"/>
    </w:pPr>
    <w:rPr>
      <w:rFonts w:ascii="Calibri" w:eastAsia="宋体" w:hAnsi="Calibri" w:cs="Times New Roman"/>
      <w:szCs w:val="20"/>
    </w:rPr>
  </w:style>
  <w:style w:type="paragraph" w:customStyle="1" w:styleId="20">
    <w:name w:val="列出段落2"/>
    <w:basedOn w:val="a0"/>
    <w:uiPriority w:val="34"/>
    <w:qFormat/>
    <w:pPr>
      <w:ind w:firstLineChars="200" w:firstLine="420"/>
    </w:pPr>
    <w:rPr>
      <w:rFonts w:ascii="Calibri" w:eastAsia="宋体" w:hAnsi="Calibri" w:cs="Times New Roman"/>
    </w:rPr>
  </w:style>
  <w:style w:type="paragraph" w:customStyle="1" w:styleId="4">
    <w:name w:val="列出段落4"/>
    <w:basedOn w:val="a0"/>
    <w:uiPriority w:val="99"/>
    <w:qFormat/>
    <w:pPr>
      <w:ind w:firstLineChars="200" w:firstLine="420"/>
    </w:pPr>
    <w:rPr>
      <w:rFonts w:ascii="Times New Roman" w:eastAsia="宋体" w:hAnsi="Times New Roman" w:cs="Times New Roman"/>
      <w:szCs w:val="20"/>
    </w:rPr>
  </w:style>
  <w:style w:type="character" w:customStyle="1" w:styleId="Char3">
    <w:name w:val="页眉 Char"/>
    <w:basedOn w:val="a1"/>
    <w:link w:val="a8"/>
    <w:uiPriority w:val="99"/>
    <w:rPr>
      <w:sz w:val="18"/>
      <w:szCs w:val="18"/>
    </w:rPr>
  </w:style>
  <w:style w:type="character" w:customStyle="1" w:styleId="Char2">
    <w:name w:val="页脚 Char"/>
    <w:basedOn w:val="a1"/>
    <w:link w:val="a7"/>
    <w:uiPriority w:val="99"/>
    <w:rPr>
      <w:sz w:val="18"/>
      <w:szCs w:val="18"/>
    </w:rPr>
  </w:style>
  <w:style w:type="character" w:customStyle="1" w:styleId="Char1">
    <w:name w:val="批注框文本 Char"/>
    <w:basedOn w:val="a1"/>
    <w:link w:val="a6"/>
    <w:uiPriority w:val="99"/>
    <w:semiHidden/>
    <w:qFormat/>
    <w:rPr>
      <w:sz w:val="18"/>
      <w:szCs w:val="18"/>
    </w:rPr>
  </w:style>
  <w:style w:type="character" w:customStyle="1" w:styleId="Char">
    <w:name w:val="文档结构图 Char"/>
    <w:basedOn w:val="a1"/>
    <w:link w:val="a4"/>
    <w:uiPriority w:val="99"/>
    <w:semiHidden/>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Z赵可儿</dc:creator>
  <cp:lastModifiedBy>郭军</cp:lastModifiedBy>
  <cp:revision>8</cp:revision>
  <dcterms:created xsi:type="dcterms:W3CDTF">2018-11-13T06:47:00Z</dcterms:created>
  <dcterms:modified xsi:type="dcterms:W3CDTF">2019-04-28T01:02:00Z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