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7E4" w:rsidRDefault="00857C91">
      <w:pPr>
        <w:pStyle w:val="a9"/>
        <w:spacing w:line="330" w:lineRule="atLeast"/>
        <w:jc w:val="center"/>
        <w:rPr>
          <w:rFonts w:cs="Tahoma"/>
          <w:b/>
          <w:bCs/>
          <w:color w:val="000000" w:themeColor="text1"/>
          <w:szCs w:val="28"/>
        </w:rPr>
      </w:pPr>
      <w:r>
        <w:rPr>
          <w:rFonts w:cs="Tahoma" w:hint="eastAsia"/>
          <w:b/>
          <w:bCs/>
          <w:color w:val="000000" w:themeColor="text1"/>
          <w:szCs w:val="28"/>
        </w:rPr>
        <w:t>万家基金管理有限公司关于旗下部分基金新增东方财富证券为销售机构及参加其费率优惠活动的公告</w:t>
      </w:r>
    </w:p>
    <w:p w:rsidR="00C307E4" w:rsidRDefault="00857C91" w:rsidP="009F481B">
      <w:pPr>
        <w:pStyle w:val="2"/>
        <w:spacing w:afterLines="50" w:after="156" w:line="360" w:lineRule="auto"/>
        <w:ind w:firstLineChars="177" w:firstLine="425"/>
        <w:rPr>
          <w:rFonts w:ascii="宋体" w:hAnsi="宋体" w:cs="Tahoma"/>
          <w:color w:val="000000" w:themeColor="text1"/>
          <w:kern w:val="0"/>
          <w:sz w:val="24"/>
          <w:szCs w:val="28"/>
        </w:rPr>
      </w:pPr>
      <w:r>
        <w:rPr>
          <w:rFonts w:ascii="宋体" w:hAnsi="宋体" w:cs="Tahoma"/>
          <w:color w:val="000000" w:themeColor="text1"/>
          <w:kern w:val="0"/>
          <w:sz w:val="24"/>
          <w:szCs w:val="28"/>
        </w:rPr>
        <w:t>根据万家基金管理有限公司（以下简称</w:t>
      </w:r>
      <w:r>
        <w:rPr>
          <w:rFonts w:ascii="宋体" w:hAnsi="宋体" w:cs="Tahoma"/>
          <w:color w:val="000000" w:themeColor="text1"/>
          <w:kern w:val="0"/>
          <w:sz w:val="24"/>
          <w:szCs w:val="28"/>
        </w:rPr>
        <w:t>"</w:t>
      </w:r>
      <w:r>
        <w:rPr>
          <w:rFonts w:ascii="宋体" w:hAnsi="宋体" w:cs="Tahoma"/>
          <w:color w:val="000000" w:themeColor="text1"/>
          <w:kern w:val="0"/>
          <w:sz w:val="24"/>
          <w:szCs w:val="28"/>
        </w:rPr>
        <w:t>本公司</w:t>
      </w:r>
      <w:r>
        <w:rPr>
          <w:rFonts w:ascii="宋体" w:hAnsi="宋体" w:cs="Tahoma"/>
          <w:color w:val="000000" w:themeColor="text1"/>
          <w:kern w:val="0"/>
          <w:sz w:val="24"/>
          <w:szCs w:val="28"/>
        </w:rPr>
        <w:t>"</w:t>
      </w:r>
      <w:r>
        <w:rPr>
          <w:rFonts w:ascii="宋体" w:hAnsi="宋体" w:cs="Tahoma"/>
          <w:color w:val="000000" w:themeColor="text1"/>
          <w:kern w:val="0"/>
          <w:sz w:val="24"/>
          <w:szCs w:val="28"/>
        </w:rPr>
        <w:t>）与</w:t>
      </w:r>
      <w:r>
        <w:rPr>
          <w:rFonts w:ascii="宋体" w:hAnsi="宋体" w:hint="eastAsia"/>
          <w:color w:val="000000"/>
          <w:sz w:val="24"/>
          <w:szCs w:val="24"/>
        </w:rPr>
        <w:t>西藏东方财富证券股份有限公司</w:t>
      </w:r>
      <w:r>
        <w:rPr>
          <w:rFonts w:ascii="宋体" w:hAnsi="宋体" w:cs="Tahoma" w:hint="eastAsia"/>
          <w:color w:val="000000" w:themeColor="text1"/>
          <w:kern w:val="0"/>
          <w:sz w:val="24"/>
          <w:szCs w:val="28"/>
        </w:rPr>
        <w:t>（以下简称“</w:t>
      </w:r>
      <w:r>
        <w:rPr>
          <w:rFonts w:ascii="宋体" w:hAnsi="宋体" w:hint="eastAsia"/>
          <w:color w:val="000000"/>
          <w:sz w:val="24"/>
          <w:szCs w:val="24"/>
        </w:rPr>
        <w:t>东方财富证券</w:t>
      </w:r>
      <w:r>
        <w:rPr>
          <w:rFonts w:ascii="宋体" w:hAnsi="宋体" w:cs="Tahoma" w:hint="eastAsia"/>
          <w:color w:val="000000" w:themeColor="text1"/>
          <w:kern w:val="0"/>
          <w:sz w:val="24"/>
          <w:szCs w:val="28"/>
        </w:rPr>
        <w:t>”）</w:t>
      </w:r>
      <w:r>
        <w:rPr>
          <w:rFonts w:ascii="宋体" w:hAnsi="宋体" w:cs="Tahoma"/>
          <w:color w:val="000000" w:themeColor="text1"/>
          <w:kern w:val="0"/>
          <w:sz w:val="24"/>
          <w:szCs w:val="28"/>
        </w:rPr>
        <w:t>签订的</w:t>
      </w:r>
      <w:r>
        <w:rPr>
          <w:rFonts w:ascii="宋体" w:hAnsi="宋体" w:cs="Tahoma" w:hint="eastAsia"/>
          <w:color w:val="000000" w:themeColor="text1"/>
          <w:kern w:val="0"/>
          <w:sz w:val="24"/>
          <w:szCs w:val="28"/>
        </w:rPr>
        <w:t>代理销售</w:t>
      </w:r>
      <w:r>
        <w:rPr>
          <w:rFonts w:ascii="宋体" w:hAnsi="宋体" w:cs="Tahoma"/>
          <w:color w:val="000000" w:themeColor="text1"/>
          <w:kern w:val="0"/>
          <w:sz w:val="24"/>
          <w:szCs w:val="28"/>
        </w:rPr>
        <w:t>协议，</w:t>
      </w:r>
      <w:r>
        <w:rPr>
          <w:rFonts w:ascii="宋体" w:hAnsi="宋体" w:hint="eastAsia"/>
          <w:color w:val="000000"/>
          <w:sz w:val="24"/>
          <w:szCs w:val="24"/>
        </w:rPr>
        <w:t>东方财富证券</w:t>
      </w:r>
      <w:r>
        <w:rPr>
          <w:rFonts w:ascii="宋体" w:hAnsi="宋体" w:cs="Tahoma" w:hint="eastAsia"/>
          <w:color w:val="333333"/>
          <w:kern w:val="0"/>
          <w:sz w:val="24"/>
          <w:szCs w:val="28"/>
        </w:rPr>
        <w:t>从</w:t>
      </w:r>
      <w:r>
        <w:rPr>
          <w:rFonts w:ascii="宋体" w:hAnsi="宋体" w:cs="Tahoma"/>
          <w:color w:val="000000" w:themeColor="text1"/>
          <w:kern w:val="0"/>
          <w:sz w:val="24"/>
          <w:szCs w:val="28"/>
        </w:rPr>
        <w:t>201</w:t>
      </w:r>
      <w:r>
        <w:rPr>
          <w:rFonts w:ascii="宋体" w:hAnsi="宋体" w:cs="Tahoma" w:hint="eastAsia"/>
          <w:color w:val="000000" w:themeColor="text1"/>
          <w:kern w:val="0"/>
          <w:sz w:val="24"/>
          <w:szCs w:val="28"/>
        </w:rPr>
        <w:t>9</w:t>
      </w:r>
      <w:r>
        <w:rPr>
          <w:rFonts w:ascii="宋体" w:hAnsi="宋体" w:cs="Tahoma"/>
          <w:color w:val="000000" w:themeColor="text1"/>
          <w:kern w:val="0"/>
          <w:sz w:val="24"/>
          <w:szCs w:val="28"/>
        </w:rPr>
        <w:t>年</w:t>
      </w:r>
      <w:r>
        <w:rPr>
          <w:rFonts w:ascii="宋体" w:hAnsi="宋体" w:cs="Tahoma" w:hint="eastAsia"/>
          <w:color w:val="000000" w:themeColor="text1"/>
          <w:kern w:val="0"/>
          <w:sz w:val="24"/>
          <w:szCs w:val="28"/>
        </w:rPr>
        <w:t>1</w:t>
      </w:r>
      <w:r>
        <w:rPr>
          <w:rFonts w:ascii="宋体" w:hAnsi="宋体" w:cs="Tahoma" w:hint="eastAsia"/>
          <w:color w:val="000000" w:themeColor="text1"/>
          <w:kern w:val="0"/>
          <w:sz w:val="24"/>
          <w:szCs w:val="28"/>
        </w:rPr>
        <w:t>月</w:t>
      </w:r>
      <w:r>
        <w:rPr>
          <w:rFonts w:ascii="宋体" w:hAnsi="宋体" w:cs="Tahoma" w:hint="eastAsia"/>
          <w:color w:val="000000" w:themeColor="text1"/>
          <w:kern w:val="0"/>
          <w:sz w:val="24"/>
          <w:szCs w:val="28"/>
        </w:rPr>
        <w:t>2</w:t>
      </w:r>
      <w:r>
        <w:rPr>
          <w:rFonts w:ascii="宋体" w:hAnsi="宋体" w:cs="Tahoma" w:hint="eastAsia"/>
          <w:color w:val="000000" w:themeColor="text1"/>
          <w:kern w:val="0"/>
          <w:sz w:val="24"/>
          <w:szCs w:val="28"/>
        </w:rPr>
        <w:t>日</w:t>
      </w:r>
      <w:r>
        <w:rPr>
          <w:rFonts w:ascii="宋体" w:hAnsi="宋体" w:cs="Tahoma"/>
          <w:color w:val="000000" w:themeColor="text1"/>
          <w:kern w:val="0"/>
          <w:sz w:val="24"/>
          <w:szCs w:val="28"/>
        </w:rPr>
        <w:t>起代理本公司旗下</w:t>
      </w:r>
      <w:r>
        <w:rPr>
          <w:rFonts w:ascii="宋体" w:hAnsi="宋体" w:cs="Tahoma" w:hint="eastAsia"/>
          <w:color w:val="000000" w:themeColor="text1"/>
          <w:kern w:val="0"/>
          <w:sz w:val="24"/>
          <w:szCs w:val="28"/>
        </w:rPr>
        <w:t>部分开放式基金产品</w:t>
      </w:r>
      <w:r>
        <w:rPr>
          <w:rFonts w:ascii="宋体" w:hAnsi="宋体" w:cs="Tahoma"/>
          <w:color w:val="000000" w:themeColor="text1"/>
          <w:kern w:val="0"/>
          <w:sz w:val="24"/>
          <w:szCs w:val="28"/>
        </w:rPr>
        <w:t>的销售业务</w:t>
      </w:r>
      <w:r>
        <w:rPr>
          <w:rFonts w:ascii="宋体" w:hAnsi="宋体" w:cs="Tahoma" w:hint="eastAsia"/>
          <w:color w:val="000000" w:themeColor="text1"/>
          <w:kern w:val="0"/>
          <w:sz w:val="24"/>
          <w:szCs w:val="28"/>
        </w:rPr>
        <w:t>参加费率优惠活动。</w:t>
      </w:r>
    </w:p>
    <w:p w:rsidR="00C307E4" w:rsidRDefault="00857C91">
      <w:pPr>
        <w:pStyle w:val="2"/>
        <w:numPr>
          <w:ilvl w:val="0"/>
          <w:numId w:val="1"/>
        </w:numPr>
        <w:spacing w:afterLines="50" w:after="156" w:line="360" w:lineRule="auto"/>
        <w:ind w:leftChars="0"/>
        <w:rPr>
          <w:rFonts w:ascii="宋体" w:hAnsi="宋体" w:cs="Tahoma"/>
          <w:color w:val="000000" w:themeColor="text1"/>
          <w:kern w:val="0"/>
          <w:sz w:val="24"/>
          <w:szCs w:val="28"/>
        </w:rPr>
      </w:pPr>
      <w:r>
        <w:rPr>
          <w:rFonts w:ascii="宋体" w:hAnsi="宋体" w:cs="Tahoma" w:hint="eastAsia"/>
          <w:color w:val="000000" w:themeColor="text1"/>
          <w:kern w:val="0"/>
          <w:sz w:val="24"/>
          <w:szCs w:val="28"/>
        </w:rPr>
        <w:t>本次增加</w:t>
      </w:r>
      <w:r>
        <w:rPr>
          <w:rFonts w:ascii="宋体" w:hAnsi="宋体" w:hint="eastAsia"/>
          <w:color w:val="000000"/>
          <w:sz w:val="24"/>
          <w:szCs w:val="24"/>
        </w:rPr>
        <w:t>东方财富证券</w:t>
      </w:r>
      <w:r>
        <w:rPr>
          <w:rFonts w:ascii="宋体" w:hAnsi="宋体" w:cs="Tahoma" w:hint="eastAsia"/>
          <w:color w:val="000000" w:themeColor="text1"/>
          <w:kern w:val="0"/>
          <w:sz w:val="24"/>
          <w:szCs w:val="28"/>
        </w:rPr>
        <w:t>为销售机构的基金产品如下：</w:t>
      </w:r>
    </w:p>
    <w:tbl>
      <w:tblPr>
        <w:tblW w:w="77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0"/>
        <w:gridCol w:w="2299"/>
        <w:gridCol w:w="886"/>
      </w:tblGrid>
      <w:tr w:rsidR="00C307E4">
        <w:trPr>
          <w:trHeight w:val="270"/>
        </w:trPr>
        <w:tc>
          <w:tcPr>
            <w:tcW w:w="4520" w:type="dxa"/>
            <w:shd w:val="clear" w:color="auto" w:fill="auto"/>
            <w:noWrap/>
            <w:vAlign w:val="bottom"/>
          </w:tcPr>
          <w:p w:rsidR="00C307E4" w:rsidRDefault="00857C9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基金名称</w:t>
            </w:r>
          </w:p>
        </w:tc>
        <w:tc>
          <w:tcPr>
            <w:tcW w:w="2299" w:type="dxa"/>
            <w:shd w:val="clear" w:color="auto" w:fill="auto"/>
            <w:noWrap/>
            <w:vAlign w:val="bottom"/>
          </w:tcPr>
          <w:p w:rsidR="00C307E4" w:rsidRDefault="00857C91">
            <w:pPr>
              <w:widowControl/>
              <w:jc w:val="center"/>
              <w:rPr>
                <w:rFonts w:ascii="Courier New" w:eastAsia="宋体" w:hAnsi="Courier New" w:cs="Courier New"/>
                <w:b/>
                <w:bCs/>
                <w:color w:val="000000"/>
                <w:kern w:val="0"/>
                <w:sz w:val="20"/>
                <w:szCs w:val="20"/>
              </w:rPr>
            </w:pPr>
            <w:r>
              <w:rPr>
                <w:rFonts w:ascii="Courier New" w:eastAsia="宋体" w:hAnsi="Courier New" w:cs="Courier New"/>
                <w:b/>
                <w:bCs/>
                <w:color w:val="000000"/>
                <w:kern w:val="0"/>
                <w:sz w:val="20"/>
                <w:szCs w:val="20"/>
              </w:rPr>
              <w:t>基金简称</w:t>
            </w:r>
          </w:p>
        </w:tc>
        <w:tc>
          <w:tcPr>
            <w:tcW w:w="886" w:type="dxa"/>
            <w:shd w:val="clear" w:color="auto" w:fill="auto"/>
            <w:noWrap/>
            <w:vAlign w:val="bottom"/>
          </w:tcPr>
          <w:p w:rsidR="00C307E4" w:rsidRDefault="00857C91">
            <w:pPr>
              <w:widowControl/>
              <w:jc w:val="center"/>
              <w:rPr>
                <w:rFonts w:ascii="Courier New" w:eastAsia="宋体" w:hAnsi="Courier New" w:cs="Courier New"/>
                <w:b/>
                <w:bCs/>
                <w:color w:val="000000"/>
                <w:kern w:val="0"/>
                <w:sz w:val="20"/>
                <w:szCs w:val="20"/>
              </w:rPr>
            </w:pPr>
            <w:r>
              <w:rPr>
                <w:rFonts w:ascii="Courier New" w:eastAsia="宋体" w:hAnsi="Courier New" w:cs="Courier New"/>
                <w:b/>
                <w:bCs/>
                <w:color w:val="000000"/>
                <w:kern w:val="0"/>
                <w:sz w:val="20"/>
                <w:szCs w:val="20"/>
              </w:rPr>
              <w:t>代码</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万家瑞益灵活</w:t>
            </w:r>
            <w:proofErr w:type="gramEnd"/>
            <w:r>
              <w:rPr>
                <w:rFonts w:hint="eastAsia"/>
                <w:color w:val="000000"/>
                <w:sz w:val="22"/>
              </w:rPr>
              <w:t>配置混合型证券投资基金</w:t>
            </w:r>
          </w:p>
        </w:tc>
        <w:tc>
          <w:tcPr>
            <w:tcW w:w="2299"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万家瑞益</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001635</w:t>
            </w:r>
          </w:p>
        </w:tc>
        <w:bookmarkStart w:id="0" w:name="_GoBack"/>
        <w:bookmarkEnd w:id="0"/>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万家瑞益灵活</w:t>
            </w:r>
            <w:proofErr w:type="gramEnd"/>
            <w:r>
              <w:rPr>
                <w:rFonts w:hint="eastAsia"/>
                <w:color w:val="000000"/>
                <w:sz w:val="22"/>
              </w:rPr>
              <w:t>配置混合型证券投资基金</w:t>
            </w:r>
          </w:p>
        </w:tc>
        <w:tc>
          <w:tcPr>
            <w:tcW w:w="2299"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万家瑞益</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001636</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万家沪深</w:t>
            </w:r>
            <w:r>
              <w:rPr>
                <w:rFonts w:hint="eastAsia"/>
                <w:color w:val="000000"/>
                <w:sz w:val="22"/>
              </w:rPr>
              <w:t>300</w:t>
            </w:r>
            <w:r>
              <w:rPr>
                <w:rFonts w:hint="eastAsia"/>
                <w:color w:val="000000"/>
                <w:sz w:val="22"/>
              </w:rPr>
              <w:t>指数增强型证券投资基金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万家沪深</w:t>
            </w:r>
            <w:r>
              <w:rPr>
                <w:rFonts w:hint="eastAsia"/>
                <w:color w:val="000000"/>
                <w:sz w:val="22"/>
              </w:rPr>
              <w:t>300A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002670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万家沪深</w:t>
            </w:r>
            <w:r>
              <w:rPr>
                <w:rFonts w:hint="eastAsia"/>
                <w:color w:val="000000"/>
                <w:sz w:val="22"/>
              </w:rPr>
              <w:t>300</w:t>
            </w:r>
            <w:r>
              <w:rPr>
                <w:rFonts w:hint="eastAsia"/>
                <w:color w:val="000000"/>
                <w:sz w:val="22"/>
              </w:rPr>
              <w:t>指数增强型证券投资基金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万家沪深</w:t>
            </w:r>
            <w:r>
              <w:rPr>
                <w:rFonts w:hint="eastAsia"/>
                <w:color w:val="000000"/>
                <w:sz w:val="22"/>
              </w:rPr>
              <w:t>300C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002671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万家瑞盈灵活</w:t>
            </w:r>
            <w:proofErr w:type="gramEnd"/>
            <w:r>
              <w:rPr>
                <w:rFonts w:hint="eastAsia"/>
                <w:color w:val="000000"/>
                <w:sz w:val="22"/>
              </w:rPr>
              <w:t>配置混合型证券投资基金</w:t>
            </w:r>
          </w:p>
        </w:tc>
        <w:tc>
          <w:tcPr>
            <w:tcW w:w="2299"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万家瑞盈</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003734</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万家瑞盈灵活</w:t>
            </w:r>
            <w:proofErr w:type="gramEnd"/>
            <w:r>
              <w:rPr>
                <w:rFonts w:hint="eastAsia"/>
                <w:color w:val="000000"/>
                <w:sz w:val="22"/>
              </w:rPr>
              <w:t>配置混合型证券投资基金</w:t>
            </w:r>
          </w:p>
        </w:tc>
        <w:tc>
          <w:tcPr>
            <w:tcW w:w="2299"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万家瑞盈</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003735</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万家瑞隆混合型证券投资基金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万家瑞隆</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003751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万家现金宝货币市场证券投资基金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万家现金宝</w:t>
            </w:r>
            <w:r>
              <w:rPr>
                <w:rFonts w:hint="eastAsia"/>
                <w:color w:val="000000"/>
                <w:sz w:val="22"/>
              </w:rPr>
              <w:t>B</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004811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万家天添宝货币市场基金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万家天添</w:t>
            </w:r>
            <w:proofErr w:type="gramStart"/>
            <w:r>
              <w:rPr>
                <w:rFonts w:hint="eastAsia"/>
                <w:color w:val="000000"/>
                <w:sz w:val="22"/>
              </w:rPr>
              <w:t>宝货币</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004717</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安弘纯债</w:t>
            </w:r>
            <w:proofErr w:type="gramEnd"/>
            <w:r>
              <w:rPr>
                <w:rFonts w:hint="eastAsia"/>
                <w:color w:val="000000"/>
                <w:sz w:val="22"/>
              </w:rPr>
              <w:t>一年定期开放债券型证券投资基金</w:t>
            </w:r>
          </w:p>
        </w:tc>
        <w:tc>
          <w:tcPr>
            <w:tcW w:w="2299"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万家安弘</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004681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安弘纯债</w:t>
            </w:r>
            <w:proofErr w:type="gramEnd"/>
            <w:r>
              <w:rPr>
                <w:rFonts w:hint="eastAsia"/>
                <w:color w:val="000000"/>
                <w:sz w:val="22"/>
              </w:rPr>
              <w:t>一年定期开放债券型证券投资基金</w:t>
            </w:r>
          </w:p>
        </w:tc>
        <w:tc>
          <w:tcPr>
            <w:tcW w:w="2299" w:type="dxa"/>
            <w:shd w:val="clear" w:color="auto" w:fill="auto"/>
            <w:noWrap/>
          </w:tcPr>
          <w:p w:rsidR="00C307E4" w:rsidRDefault="00857C91">
            <w:pPr>
              <w:rPr>
                <w:rFonts w:ascii="宋体" w:eastAsia="宋体" w:hAnsi="宋体" w:cs="宋体"/>
                <w:color w:val="000000"/>
                <w:sz w:val="22"/>
              </w:rPr>
            </w:pPr>
            <w:proofErr w:type="gramStart"/>
            <w:r>
              <w:rPr>
                <w:rFonts w:hint="eastAsia"/>
                <w:color w:val="000000"/>
                <w:sz w:val="22"/>
              </w:rPr>
              <w:t>万家安弘</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004682</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臻</w:t>
            </w:r>
            <w:proofErr w:type="gramEnd"/>
            <w:r>
              <w:rPr>
                <w:rFonts w:hint="eastAsia"/>
                <w:color w:val="000000"/>
                <w:sz w:val="22"/>
              </w:rPr>
              <w:t>选混合型证券投资基金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臻</w:t>
            </w:r>
            <w:proofErr w:type="gramEnd"/>
            <w:r>
              <w:rPr>
                <w:rFonts w:hint="eastAsia"/>
                <w:color w:val="000000"/>
                <w:sz w:val="22"/>
              </w:rPr>
              <w:t>选</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005094</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万家成长优选灵活配置混合型证券投资基金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万家成长优选</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005299</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万家成长优选灵活配置混合型证券投资基金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万家成长优选</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005300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万家潜力价值灵活配置混合型证券投资基金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万家潜力价值</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005400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万家潜力价值灵活配置混合型证券投资基金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万家潜力价值</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005401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万家量化同顺多策略灵活配置混合型证券投资基金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万家量化同顺多策略</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005650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万家量化同顺多策略灵活配置混合型证券投资基金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万家量化同顺多策略</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005651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万家新机遇龙头企业灵活配置混合型证券投资基金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万家新机遇龙头企业</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005821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万家智</w:t>
            </w:r>
            <w:proofErr w:type="gramStart"/>
            <w:r>
              <w:rPr>
                <w:rFonts w:hint="eastAsia"/>
                <w:color w:val="000000"/>
                <w:sz w:val="22"/>
              </w:rPr>
              <w:t>造优势</w:t>
            </w:r>
            <w:proofErr w:type="gramEnd"/>
            <w:r>
              <w:rPr>
                <w:rFonts w:hint="eastAsia"/>
                <w:color w:val="000000"/>
                <w:sz w:val="22"/>
              </w:rPr>
              <w:t>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万家智</w:t>
            </w:r>
            <w:proofErr w:type="gramStart"/>
            <w:r>
              <w:rPr>
                <w:rFonts w:hint="eastAsia"/>
                <w:color w:val="000000"/>
                <w:sz w:val="22"/>
              </w:rPr>
              <w:t>造优势</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006132</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万家智</w:t>
            </w:r>
            <w:proofErr w:type="gramStart"/>
            <w:r>
              <w:rPr>
                <w:rFonts w:hint="eastAsia"/>
                <w:color w:val="000000"/>
                <w:sz w:val="22"/>
              </w:rPr>
              <w:t>造优势</w:t>
            </w:r>
            <w:proofErr w:type="gramEnd"/>
            <w:r>
              <w:rPr>
                <w:rFonts w:hint="eastAsia"/>
                <w:color w:val="000000"/>
                <w:sz w:val="22"/>
              </w:rPr>
              <w:t>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万家智</w:t>
            </w:r>
            <w:proofErr w:type="gramStart"/>
            <w:r>
              <w:rPr>
                <w:rFonts w:hint="eastAsia"/>
                <w:color w:val="000000"/>
                <w:sz w:val="22"/>
              </w:rPr>
              <w:t>造优势</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006133</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万家稳健养老目标三年持有期混合型基金中基金</w:t>
            </w:r>
            <w:r>
              <w:rPr>
                <w:rFonts w:hint="eastAsia"/>
                <w:color w:val="000000"/>
                <w:sz w:val="22"/>
              </w:rPr>
              <w:t>(FOF)</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万家稳健养老</w:t>
            </w:r>
            <w:r>
              <w:rPr>
                <w:rFonts w:hint="eastAsia"/>
                <w:color w:val="000000"/>
                <w:sz w:val="22"/>
              </w:rPr>
              <w:t>(FOF)</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006294</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r>
              <w:rPr>
                <w:rFonts w:hint="eastAsia"/>
                <w:color w:val="000000"/>
                <w:sz w:val="22"/>
              </w:rPr>
              <w:t>180</w:t>
            </w:r>
            <w:r>
              <w:rPr>
                <w:rFonts w:hint="eastAsia"/>
                <w:color w:val="000000"/>
                <w:sz w:val="22"/>
              </w:rPr>
              <w:t>指数证券投资基金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万家上证</w:t>
            </w:r>
            <w:r>
              <w:rPr>
                <w:rFonts w:hint="eastAsia"/>
                <w:color w:val="000000"/>
                <w:sz w:val="22"/>
              </w:rPr>
              <w:t>180</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万家增强收益债券型证券投资基金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万家增强收益</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161902</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万家行业优选混合型证券投资基金</w:t>
            </w:r>
            <w:r>
              <w:rPr>
                <w:rFonts w:hint="eastAsia"/>
                <w:color w:val="000000"/>
                <w:sz w:val="22"/>
              </w:rPr>
              <w:t>(LOF)</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万家行业优选</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161903</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lastRenderedPageBreak/>
              <w:t>万家货币市场证券投资基金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万家货币</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519508</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和谐增长</w:t>
            </w:r>
            <w:proofErr w:type="gramEnd"/>
            <w:r>
              <w:rPr>
                <w:rFonts w:hint="eastAsia"/>
                <w:color w:val="000000"/>
                <w:sz w:val="22"/>
              </w:rPr>
              <w:t>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和谐增长</w:t>
            </w:r>
            <w:proofErr w:type="gramEnd"/>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万家双引擎灵活配置混合型证券投资基金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万家双引擎</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519183</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万家精选混合型证券投资基金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万家精选</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519185</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万家稳健增利债券型证券投资基金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万家稳健增利</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519186</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万家稳健增利债券型证券投资基金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万家稳健增利</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519187</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万家中证红利指数证券投资基金</w:t>
            </w:r>
            <w:r>
              <w:rPr>
                <w:rFonts w:hint="eastAsia"/>
                <w:color w:val="000000"/>
                <w:sz w:val="22"/>
              </w:rPr>
              <w:t>(LOF)</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万家中证红利</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161907</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w:t>
            </w:r>
            <w:proofErr w:type="gramStart"/>
            <w:r>
              <w:rPr>
                <w:rFonts w:hint="eastAsia"/>
                <w:color w:val="000000"/>
                <w:sz w:val="22"/>
              </w:rPr>
              <w:t>家信用恒利</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w:t>
            </w:r>
            <w:proofErr w:type="gramStart"/>
            <w:r>
              <w:rPr>
                <w:rFonts w:hint="eastAsia"/>
                <w:color w:val="000000"/>
                <w:sz w:val="22"/>
              </w:rPr>
              <w:t>家信用恒利</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519188</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w:t>
            </w:r>
            <w:proofErr w:type="gramStart"/>
            <w:r>
              <w:rPr>
                <w:rFonts w:hint="eastAsia"/>
                <w:color w:val="000000"/>
                <w:sz w:val="22"/>
              </w:rPr>
              <w:t>家信用恒利</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w:t>
            </w:r>
            <w:proofErr w:type="gramStart"/>
            <w:r>
              <w:rPr>
                <w:rFonts w:hint="eastAsia"/>
                <w:color w:val="000000"/>
                <w:sz w:val="22"/>
              </w:rPr>
              <w:t>家信用恒利</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519189</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日</w:t>
            </w:r>
            <w:proofErr w:type="gramEnd"/>
            <w:r>
              <w:rPr>
                <w:rFonts w:hint="eastAsia"/>
                <w:color w:val="000000"/>
                <w:sz w:val="22"/>
              </w:rPr>
              <w:t>日薪货币市场证券投资基金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日</w:t>
            </w:r>
            <w:proofErr w:type="gramEnd"/>
            <w:r>
              <w:rPr>
                <w:rFonts w:hint="eastAsia"/>
                <w:color w:val="000000"/>
                <w:sz w:val="22"/>
              </w:rPr>
              <w:t>日薪</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519511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万家强化收益定期开放债券型证券投资基金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万家强化收益</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161911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万家添利债券型证券投资基金</w:t>
            </w:r>
            <w:r>
              <w:rPr>
                <w:rFonts w:hint="eastAsia"/>
                <w:color w:val="000000"/>
                <w:sz w:val="22"/>
              </w:rPr>
              <w:t>(LOF)</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万家添利</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161908</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万家新利灵活配置混合型证券投资基金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万家新利</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万家双利债券型证券投资基金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万家双利</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万家瑞丰灵活配置混合型证券投资基金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万家瑞丰</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001488</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万家瑞丰灵活配置混合型证券投资基金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万家瑞丰</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001489</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万家瑞兴灵活配置混合型证券投资基金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万家瑞兴</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001518</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万家品质生活灵活配置混合型证券投资基金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万家品质生活</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519195</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万家新兴蓝筹灵活配置混合型证券投资基金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万家新兴蓝筹</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519196</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万家颐达保本混合型证券投资基金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万家颐达保本</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519197</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万家颐和保本混合型证券投资基金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万家颐和保本</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519198</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万家家</w:t>
            </w:r>
            <w:proofErr w:type="gramStart"/>
            <w:r>
              <w:rPr>
                <w:rFonts w:hint="eastAsia"/>
                <w:color w:val="000000"/>
                <w:sz w:val="22"/>
              </w:rPr>
              <w:t>享纯债</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万家家</w:t>
            </w:r>
            <w:proofErr w:type="gramStart"/>
            <w:r>
              <w:rPr>
                <w:rFonts w:hint="eastAsia"/>
                <w:color w:val="000000"/>
                <w:sz w:val="22"/>
              </w:rPr>
              <w:t>享纯债</w:t>
            </w:r>
            <w:proofErr w:type="gramEnd"/>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519199</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年年恒荣定期</w:t>
            </w:r>
            <w:proofErr w:type="gramEnd"/>
            <w:r>
              <w:rPr>
                <w:rFonts w:hint="eastAsia"/>
                <w:color w:val="000000"/>
                <w:sz w:val="22"/>
              </w:rPr>
              <w:t>开放债券型证券投资基金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万家年年</w:t>
            </w:r>
            <w:proofErr w:type="gramStart"/>
            <w:r>
              <w:rPr>
                <w:rFonts w:hint="eastAsia"/>
                <w:color w:val="000000"/>
                <w:sz w:val="22"/>
              </w:rPr>
              <w:t>恒荣定</w:t>
            </w:r>
            <w:proofErr w:type="gramEnd"/>
            <w:r>
              <w:rPr>
                <w:rFonts w:hint="eastAsia"/>
                <w:color w:val="000000"/>
                <w:sz w:val="22"/>
              </w:rPr>
              <w:t>开</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519206</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w:t>
            </w:r>
            <w:proofErr w:type="gramStart"/>
            <w:r>
              <w:rPr>
                <w:rFonts w:hint="eastAsia"/>
                <w:color w:val="000000"/>
                <w:sz w:val="22"/>
              </w:rPr>
              <w:t>年年恒荣定期</w:t>
            </w:r>
            <w:proofErr w:type="gramEnd"/>
            <w:r>
              <w:rPr>
                <w:rFonts w:hint="eastAsia"/>
                <w:color w:val="000000"/>
                <w:sz w:val="22"/>
              </w:rPr>
              <w:t>开放债券型证券投资基金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万家年年</w:t>
            </w:r>
            <w:proofErr w:type="gramStart"/>
            <w:r>
              <w:rPr>
                <w:rFonts w:hint="eastAsia"/>
                <w:color w:val="000000"/>
                <w:sz w:val="22"/>
              </w:rPr>
              <w:t>恒荣定</w:t>
            </w:r>
            <w:proofErr w:type="gramEnd"/>
            <w:r>
              <w:rPr>
                <w:rFonts w:hint="eastAsia"/>
                <w:color w:val="000000"/>
                <w:sz w:val="22"/>
              </w:rPr>
              <w:t>开</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519207</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稳纯债</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稳纯债</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003520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稳纯债</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稳纯债</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003521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丰纯债</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丰纯债</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004079</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丰纯债</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丰纯债</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004080</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享纯债</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享纯债</w:t>
            </w:r>
            <w:proofErr w:type="gramEnd"/>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003747</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享纯债</w:t>
            </w:r>
            <w:proofErr w:type="gramEnd"/>
            <w:r>
              <w:rPr>
                <w:rFonts w:hint="eastAsia"/>
                <w:color w:val="000000"/>
                <w:sz w:val="22"/>
              </w:rPr>
              <w:t>债券型证券投资基金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万家鑫</w:t>
            </w:r>
            <w:proofErr w:type="gramStart"/>
            <w:r>
              <w:rPr>
                <w:rFonts w:hint="eastAsia"/>
                <w:color w:val="000000"/>
                <w:sz w:val="22"/>
              </w:rPr>
              <w:t>享纯债</w:t>
            </w:r>
            <w:proofErr w:type="gramEnd"/>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003748</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万家消费成长股票型证券投资基金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万家消费成长</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519193</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万家宏观择时多策略灵活配置混合型证券投资基金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万家宏观择时多策略</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519212</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万家量化</w:t>
            </w:r>
            <w:proofErr w:type="gramStart"/>
            <w:r>
              <w:rPr>
                <w:rFonts w:hint="eastAsia"/>
                <w:color w:val="000000"/>
                <w:sz w:val="22"/>
              </w:rPr>
              <w:t>睿</w:t>
            </w:r>
            <w:proofErr w:type="gramEnd"/>
            <w:r>
              <w:rPr>
                <w:rFonts w:hint="eastAsia"/>
                <w:color w:val="000000"/>
                <w:sz w:val="22"/>
              </w:rPr>
              <w:t>选灵活配置混合型证券投资基金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万家量化</w:t>
            </w:r>
            <w:proofErr w:type="gramStart"/>
            <w:r>
              <w:rPr>
                <w:rFonts w:hint="eastAsia"/>
                <w:color w:val="000000"/>
                <w:sz w:val="22"/>
              </w:rPr>
              <w:t>睿</w:t>
            </w:r>
            <w:proofErr w:type="gramEnd"/>
            <w:r>
              <w:rPr>
                <w:rFonts w:hint="eastAsia"/>
                <w:color w:val="000000"/>
                <w:sz w:val="22"/>
              </w:rPr>
              <w:t>选</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004641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万家经济新动能混合型证券投资基金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万家经济新动能</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005311</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万家经济新动能混合型证券投资基金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万家经济新动能</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005312</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万家新机遇价值驱动灵活配置混合型证券投资基金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万家新机遇价值驱动</w:t>
            </w:r>
            <w:r>
              <w:rPr>
                <w:rFonts w:hint="eastAsia"/>
                <w:color w:val="000000"/>
                <w:sz w:val="22"/>
              </w:rPr>
              <w:t>C</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006085</w:t>
            </w:r>
          </w:p>
        </w:tc>
      </w:tr>
      <w:tr w:rsidR="00C307E4">
        <w:trPr>
          <w:trHeight w:val="270"/>
        </w:trPr>
        <w:tc>
          <w:tcPr>
            <w:tcW w:w="4520"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万家新机遇价值驱动灵活配置混合型证券投资基金</w:t>
            </w:r>
          </w:p>
        </w:tc>
        <w:tc>
          <w:tcPr>
            <w:tcW w:w="2299" w:type="dxa"/>
            <w:shd w:val="clear" w:color="auto" w:fill="auto"/>
            <w:noWrap/>
          </w:tcPr>
          <w:p w:rsidR="00C307E4" w:rsidRDefault="00857C91">
            <w:pPr>
              <w:rPr>
                <w:rFonts w:ascii="宋体" w:eastAsia="宋体" w:hAnsi="宋体" w:cs="宋体"/>
                <w:color w:val="000000"/>
                <w:sz w:val="22"/>
              </w:rPr>
            </w:pPr>
            <w:r>
              <w:rPr>
                <w:rFonts w:hint="eastAsia"/>
                <w:color w:val="000000"/>
                <w:sz w:val="22"/>
              </w:rPr>
              <w:t>万家新机遇价值驱动</w:t>
            </w:r>
            <w:r>
              <w:rPr>
                <w:rFonts w:hint="eastAsia"/>
                <w:color w:val="000000"/>
                <w:sz w:val="22"/>
              </w:rPr>
              <w:t>A</w:t>
            </w:r>
          </w:p>
        </w:tc>
        <w:tc>
          <w:tcPr>
            <w:tcW w:w="886" w:type="dxa"/>
            <w:shd w:val="clear" w:color="auto" w:fill="auto"/>
            <w:noWrap/>
          </w:tcPr>
          <w:p w:rsidR="00C307E4" w:rsidRDefault="00857C91">
            <w:pPr>
              <w:rPr>
                <w:rFonts w:ascii="宋体" w:eastAsia="宋体" w:hAnsi="宋体" w:cs="宋体"/>
                <w:color w:val="000000"/>
                <w:sz w:val="22"/>
              </w:rPr>
            </w:pPr>
            <w:r>
              <w:rPr>
                <w:rFonts w:hint="eastAsia"/>
                <w:color w:val="000000"/>
                <w:sz w:val="22"/>
              </w:rPr>
              <w:t>161910</w:t>
            </w:r>
          </w:p>
        </w:tc>
      </w:tr>
    </w:tbl>
    <w:p w:rsidR="00C307E4" w:rsidRDefault="00C307E4">
      <w:pPr>
        <w:widowControl/>
        <w:spacing w:afterLines="50" w:after="156" w:line="460" w:lineRule="exact"/>
        <w:ind w:firstLineChars="200" w:firstLine="480"/>
        <w:rPr>
          <w:rFonts w:ascii="宋体" w:eastAsia="宋体" w:hAnsi="宋体" w:cs="Tahoma"/>
          <w:color w:val="000000" w:themeColor="text1"/>
          <w:kern w:val="0"/>
          <w:sz w:val="24"/>
          <w:szCs w:val="28"/>
        </w:rPr>
      </w:pP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lastRenderedPageBreak/>
        <w:t>投资者可在</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办理基金的开户、申购、赎回等业务，业务办理的具体事宜请遵从</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的相关规定。</w:t>
      </w:r>
    </w:p>
    <w:p w:rsidR="00C307E4" w:rsidRDefault="00C307E4">
      <w:pPr>
        <w:widowControl/>
        <w:spacing w:afterLines="50" w:after="156" w:line="460" w:lineRule="exact"/>
        <w:ind w:firstLineChars="200" w:firstLine="480"/>
        <w:rPr>
          <w:rFonts w:ascii="宋体" w:eastAsia="宋体" w:hAnsi="宋体" w:cs="Tahoma"/>
          <w:color w:val="000000" w:themeColor="text1"/>
          <w:kern w:val="0"/>
          <w:sz w:val="24"/>
          <w:szCs w:val="28"/>
        </w:rPr>
      </w:pP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二、</w:t>
      </w:r>
      <w:r>
        <w:rPr>
          <w:rFonts w:ascii="宋体" w:eastAsia="宋体" w:hAnsi="宋体" w:cs="Tahoma" w:hint="eastAsia"/>
          <w:color w:val="000000" w:themeColor="text1"/>
          <w:kern w:val="0"/>
          <w:sz w:val="24"/>
          <w:szCs w:val="28"/>
        </w:rPr>
        <w:t>参加</w:t>
      </w:r>
      <w:r>
        <w:rPr>
          <w:rFonts w:ascii="宋体" w:hAnsi="宋体" w:hint="eastAsia"/>
          <w:color w:val="000000"/>
          <w:sz w:val="24"/>
          <w:szCs w:val="24"/>
        </w:rPr>
        <w:t>东方财富证券</w:t>
      </w:r>
      <w:r>
        <w:rPr>
          <w:rFonts w:ascii="宋体" w:eastAsia="宋体" w:hAnsi="宋体" w:cs="Tahoma" w:hint="eastAsia"/>
          <w:color w:val="000000" w:themeColor="text1"/>
          <w:kern w:val="0"/>
          <w:sz w:val="24"/>
          <w:szCs w:val="28"/>
        </w:rPr>
        <w:t>的申购费率优惠活动</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1</w:t>
      </w:r>
      <w:r>
        <w:rPr>
          <w:rFonts w:ascii="宋体" w:eastAsia="宋体" w:hAnsi="宋体" w:cs="Tahoma"/>
          <w:color w:val="000000" w:themeColor="text1"/>
          <w:kern w:val="0"/>
          <w:sz w:val="24"/>
          <w:szCs w:val="28"/>
        </w:rPr>
        <w:t>、适用的基金范围</w:t>
      </w:r>
      <w:r>
        <w:rPr>
          <w:rFonts w:ascii="宋体" w:eastAsia="宋体" w:hAnsi="宋体" w:cs="Tahoma"/>
          <w:color w:val="000000" w:themeColor="text1"/>
          <w:kern w:val="0"/>
          <w:sz w:val="24"/>
          <w:szCs w:val="28"/>
        </w:rPr>
        <w:t xml:space="preserve"> </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本公司通过</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销售的</w:t>
      </w:r>
      <w:r>
        <w:rPr>
          <w:rFonts w:ascii="宋体" w:eastAsia="宋体" w:hAnsi="宋体" w:cs="Tahoma" w:hint="eastAsia"/>
          <w:color w:val="000000" w:themeColor="text1"/>
          <w:kern w:val="0"/>
          <w:sz w:val="24"/>
          <w:szCs w:val="28"/>
        </w:rPr>
        <w:t>货币基金以外的</w:t>
      </w:r>
      <w:r>
        <w:rPr>
          <w:rFonts w:ascii="宋体" w:eastAsia="宋体" w:hAnsi="宋体" w:cs="Tahoma"/>
          <w:color w:val="000000" w:themeColor="text1"/>
          <w:kern w:val="0"/>
          <w:sz w:val="24"/>
          <w:szCs w:val="28"/>
        </w:rPr>
        <w:t>所有开放式证券投资基金</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 xml:space="preserve"> 2</w:t>
      </w:r>
      <w:r>
        <w:rPr>
          <w:rFonts w:ascii="宋体" w:eastAsia="宋体" w:hAnsi="宋体" w:cs="Tahoma"/>
          <w:color w:val="000000" w:themeColor="text1"/>
          <w:kern w:val="0"/>
          <w:sz w:val="24"/>
          <w:szCs w:val="28"/>
        </w:rPr>
        <w:t>、活动时间</w:t>
      </w:r>
      <w:r>
        <w:rPr>
          <w:rFonts w:ascii="宋体" w:eastAsia="宋体" w:hAnsi="宋体" w:cs="Tahoma"/>
          <w:color w:val="000000" w:themeColor="text1"/>
          <w:kern w:val="0"/>
          <w:sz w:val="24"/>
          <w:szCs w:val="28"/>
        </w:rPr>
        <w:t xml:space="preserve"> </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优惠活动时间：</w:t>
      </w:r>
      <w:r>
        <w:rPr>
          <w:rFonts w:ascii="宋体" w:eastAsia="宋体" w:hAnsi="宋体" w:cs="Tahoma"/>
          <w:color w:val="000000" w:themeColor="text1"/>
          <w:kern w:val="0"/>
          <w:sz w:val="24"/>
          <w:szCs w:val="28"/>
        </w:rPr>
        <w:t>20</w:t>
      </w:r>
      <w:r>
        <w:rPr>
          <w:rFonts w:ascii="宋体" w:eastAsia="宋体" w:hAnsi="宋体" w:cs="Tahoma" w:hint="eastAsia"/>
          <w:color w:val="000000" w:themeColor="text1"/>
          <w:kern w:val="0"/>
          <w:sz w:val="24"/>
          <w:szCs w:val="28"/>
        </w:rPr>
        <w:t>1</w:t>
      </w:r>
      <w:r>
        <w:rPr>
          <w:rFonts w:ascii="宋体" w:eastAsia="宋体" w:hAnsi="宋体" w:cs="Tahoma" w:hint="eastAsia"/>
          <w:color w:val="000000" w:themeColor="text1"/>
          <w:kern w:val="0"/>
          <w:sz w:val="24"/>
          <w:szCs w:val="28"/>
        </w:rPr>
        <w:t>9</w:t>
      </w:r>
      <w:r>
        <w:rPr>
          <w:rFonts w:ascii="宋体" w:eastAsia="宋体" w:hAnsi="宋体" w:cs="Tahoma"/>
          <w:color w:val="000000" w:themeColor="text1"/>
          <w:kern w:val="0"/>
          <w:sz w:val="24"/>
          <w:szCs w:val="28"/>
        </w:rPr>
        <w:t>年</w:t>
      </w:r>
      <w:r>
        <w:rPr>
          <w:rFonts w:ascii="宋体" w:eastAsia="宋体" w:hAnsi="宋体" w:cs="Tahoma" w:hint="eastAsia"/>
          <w:color w:val="000000" w:themeColor="text1"/>
          <w:kern w:val="0"/>
          <w:sz w:val="24"/>
          <w:szCs w:val="28"/>
        </w:rPr>
        <w:t>1</w:t>
      </w:r>
      <w:r>
        <w:rPr>
          <w:rFonts w:ascii="宋体" w:eastAsia="宋体" w:hAnsi="宋体" w:cs="Tahoma" w:hint="eastAsia"/>
          <w:color w:val="000000" w:themeColor="text1"/>
          <w:kern w:val="0"/>
          <w:sz w:val="24"/>
          <w:szCs w:val="28"/>
        </w:rPr>
        <w:t>月</w:t>
      </w:r>
      <w:r>
        <w:rPr>
          <w:rFonts w:ascii="宋体" w:eastAsia="宋体" w:hAnsi="宋体" w:cs="Tahoma" w:hint="eastAsia"/>
          <w:color w:val="000000" w:themeColor="text1"/>
          <w:kern w:val="0"/>
          <w:sz w:val="24"/>
          <w:szCs w:val="28"/>
        </w:rPr>
        <w:t>2</w:t>
      </w:r>
      <w:r>
        <w:rPr>
          <w:rFonts w:ascii="宋体" w:eastAsia="宋体" w:hAnsi="宋体" w:cs="Tahoma" w:hint="eastAsia"/>
          <w:color w:val="000000" w:themeColor="text1"/>
          <w:kern w:val="0"/>
          <w:sz w:val="24"/>
          <w:szCs w:val="28"/>
        </w:rPr>
        <w:t>日</w:t>
      </w:r>
      <w:r>
        <w:rPr>
          <w:rFonts w:ascii="宋体" w:eastAsia="宋体" w:hAnsi="宋体" w:cs="Tahoma"/>
          <w:color w:val="000000" w:themeColor="text1"/>
          <w:kern w:val="0"/>
          <w:sz w:val="24"/>
          <w:szCs w:val="28"/>
        </w:rPr>
        <w:t>开始，</w:t>
      </w:r>
      <w:proofErr w:type="gramStart"/>
      <w:r>
        <w:rPr>
          <w:rFonts w:ascii="宋体" w:eastAsia="宋体" w:hAnsi="宋体" w:cs="Tahoma" w:hint="eastAsia"/>
          <w:color w:val="000000" w:themeColor="text1"/>
          <w:kern w:val="0"/>
          <w:sz w:val="24"/>
          <w:szCs w:val="28"/>
        </w:rPr>
        <w:t>具体结束</w:t>
      </w:r>
      <w:proofErr w:type="gramEnd"/>
      <w:r>
        <w:rPr>
          <w:rFonts w:ascii="宋体" w:eastAsia="宋体" w:hAnsi="宋体" w:cs="Tahoma" w:hint="eastAsia"/>
          <w:color w:val="000000" w:themeColor="text1"/>
          <w:kern w:val="0"/>
          <w:sz w:val="24"/>
          <w:szCs w:val="28"/>
        </w:rPr>
        <w:t>时间以</w:t>
      </w:r>
      <w:r>
        <w:rPr>
          <w:rFonts w:ascii="宋体" w:hAnsi="宋体" w:hint="eastAsia"/>
          <w:color w:val="000000"/>
          <w:sz w:val="24"/>
          <w:szCs w:val="24"/>
        </w:rPr>
        <w:t>东方财富证券</w:t>
      </w:r>
      <w:r>
        <w:rPr>
          <w:rFonts w:ascii="宋体" w:eastAsia="宋体" w:hAnsi="宋体" w:cs="Tahoma" w:hint="eastAsia"/>
          <w:color w:val="000000" w:themeColor="text1"/>
          <w:kern w:val="0"/>
          <w:sz w:val="24"/>
          <w:szCs w:val="28"/>
        </w:rPr>
        <w:t>的公告为准，</w:t>
      </w:r>
      <w:r>
        <w:rPr>
          <w:rFonts w:ascii="宋体" w:eastAsia="宋体" w:hAnsi="宋体" w:cs="Tahoma"/>
          <w:color w:val="000000" w:themeColor="text1"/>
          <w:kern w:val="0"/>
          <w:sz w:val="24"/>
          <w:szCs w:val="28"/>
        </w:rPr>
        <w:t>优惠活动</w:t>
      </w:r>
      <w:r>
        <w:rPr>
          <w:rFonts w:ascii="宋体" w:eastAsia="宋体" w:hAnsi="宋体" w:cs="Tahoma" w:hint="eastAsia"/>
          <w:color w:val="000000" w:themeColor="text1"/>
          <w:kern w:val="0"/>
          <w:sz w:val="24"/>
          <w:szCs w:val="28"/>
        </w:rPr>
        <w:t>业务办理的相关</w:t>
      </w:r>
      <w:r>
        <w:rPr>
          <w:rFonts w:ascii="宋体" w:eastAsia="宋体" w:hAnsi="宋体" w:cs="Tahoma"/>
          <w:color w:val="000000" w:themeColor="text1"/>
          <w:kern w:val="0"/>
          <w:sz w:val="24"/>
          <w:szCs w:val="28"/>
        </w:rPr>
        <w:t>规则</w:t>
      </w:r>
      <w:r>
        <w:rPr>
          <w:rFonts w:ascii="宋体" w:eastAsia="宋体" w:hAnsi="宋体" w:cs="Tahoma" w:hint="eastAsia"/>
          <w:color w:val="000000" w:themeColor="text1"/>
          <w:kern w:val="0"/>
          <w:sz w:val="24"/>
          <w:szCs w:val="28"/>
        </w:rPr>
        <w:t>、流程、变更及终止</w:t>
      </w:r>
      <w:r>
        <w:rPr>
          <w:rFonts w:ascii="宋体" w:eastAsia="宋体" w:hAnsi="宋体" w:cs="Tahoma"/>
          <w:color w:val="000000" w:themeColor="text1"/>
          <w:kern w:val="0"/>
          <w:sz w:val="24"/>
          <w:szCs w:val="28"/>
        </w:rPr>
        <w:t>以</w:t>
      </w:r>
      <w:r>
        <w:rPr>
          <w:rFonts w:ascii="宋体" w:hAnsi="宋体" w:hint="eastAsia"/>
          <w:color w:val="000000"/>
          <w:sz w:val="24"/>
          <w:szCs w:val="24"/>
        </w:rPr>
        <w:t>东方财富证券</w:t>
      </w:r>
      <w:r>
        <w:rPr>
          <w:rFonts w:ascii="宋体" w:eastAsia="宋体" w:hAnsi="宋体" w:cs="Tahoma" w:hint="eastAsia"/>
          <w:color w:val="000000" w:themeColor="text1"/>
          <w:kern w:val="0"/>
          <w:sz w:val="24"/>
          <w:szCs w:val="28"/>
        </w:rPr>
        <w:t>的安排和规定为准</w:t>
      </w:r>
      <w:r>
        <w:rPr>
          <w:rFonts w:ascii="宋体" w:eastAsia="宋体" w:hAnsi="宋体" w:cs="Tahoma"/>
          <w:color w:val="000000" w:themeColor="text1"/>
          <w:kern w:val="0"/>
          <w:sz w:val="24"/>
          <w:szCs w:val="28"/>
        </w:rPr>
        <w:t>。</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3</w:t>
      </w:r>
      <w:r>
        <w:rPr>
          <w:rFonts w:ascii="宋体" w:eastAsia="宋体" w:hAnsi="宋体" w:cs="Tahoma"/>
          <w:color w:val="000000" w:themeColor="text1"/>
          <w:kern w:val="0"/>
          <w:sz w:val="24"/>
          <w:szCs w:val="28"/>
        </w:rPr>
        <w:t>、费率优惠内容</w:t>
      </w:r>
      <w:r>
        <w:rPr>
          <w:rFonts w:ascii="宋体" w:eastAsia="宋体" w:hAnsi="宋体" w:cs="Tahoma"/>
          <w:color w:val="000000" w:themeColor="text1"/>
          <w:kern w:val="0"/>
          <w:sz w:val="24"/>
          <w:szCs w:val="28"/>
        </w:rPr>
        <w:t xml:space="preserve"> </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自</w:t>
      </w:r>
      <w:r>
        <w:rPr>
          <w:rFonts w:ascii="宋体" w:eastAsia="宋体" w:hAnsi="宋体" w:cs="Tahoma"/>
          <w:color w:val="000000" w:themeColor="text1"/>
          <w:kern w:val="0"/>
          <w:sz w:val="24"/>
          <w:szCs w:val="28"/>
        </w:rPr>
        <w:t>201</w:t>
      </w:r>
      <w:r>
        <w:rPr>
          <w:rFonts w:ascii="宋体" w:eastAsia="宋体" w:hAnsi="宋体" w:cs="Tahoma" w:hint="eastAsia"/>
          <w:color w:val="000000" w:themeColor="text1"/>
          <w:kern w:val="0"/>
          <w:sz w:val="24"/>
          <w:szCs w:val="28"/>
        </w:rPr>
        <w:t>9</w:t>
      </w:r>
      <w:r>
        <w:rPr>
          <w:rFonts w:ascii="宋体" w:eastAsia="宋体" w:hAnsi="宋体" w:cs="Tahoma"/>
          <w:color w:val="000000" w:themeColor="text1"/>
          <w:kern w:val="0"/>
          <w:sz w:val="24"/>
          <w:szCs w:val="28"/>
        </w:rPr>
        <w:t>年</w:t>
      </w:r>
      <w:r>
        <w:rPr>
          <w:rFonts w:ascii="宋体" w:eastAsia="宋体" w:hAnsi="宋体" w:cs="Tahoma" w:hint="eastAsia"/>
          <w:color w:val="000000" w:themeColor="text1"/>
          <w:kern w:val="0"/>
          <w:sz w:val="24"/>
          <w:szCs w:val="28"/>
        </w:rPr>
        <w:t>1</w:t>
      </w:r>
      <w:r>
        <w:rPr>
          <w:rFonts w:ascii="宋体" w:eastAsia="宋体" w:hAnsi="宋体" w:cs="Tahoma" w:hint="eastAsia"/>
          <w:color w:val="000000" w:themeColor="text1"/>
          <w:kern w:val="0"/>
          <w:sz w:val="24"/>
          <w:szCs w:val="28"/>
        </w:rPr>
        <w:t>月</w:t>
      </w:r>
      <w:r>
        <w:rPr>
          <w:rFonts w:ascii="宋体" w:eastAsia="宋体" w:hAnsi="宋体" w:cs="Tahoma" w:hint="eastAsia"/>
          <w:color w:val="000000" w:themeColor="text1"/>
          <w:kern w:val="0"/>
          <w:sz w:val="24"/>
          <w:szCs w:val="28"/>
        </w:rPr>
        <w:t>2</w:t>
      </w:r>
      <w:r>
        <w:rPr>
          <w:rFonts w:ascii="宋体" w:eastAsia="宋体" w:hAnsi="宋体" w:cs="Tahoma" w:hint="eastAsia"/>
          <w:color w:val="000000" w:themeColor="text1"/>
          <w:kern w:val="0"/>
          <w:sz w:val="24"/>
          <w:szCs w:val="28"/>
        </w:rPr>
        <w:t>日</w:t>
      </w:r>
      <w:r>
        <w:rPr>
          <w:rFonts w:ascii="宋体" w:eastAsia="宋体" w:hAnsi="宋体" w:cs="Tahoma"/>
          <w:color w:val="000000" w:themeColor="text1"/>
          <w:kern w:val="0"/>
          <w:sz w:val="24"/>
          <w:szCs w:val="28"/>
        </w:rPr>
        <w:t>起，投资者通过</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申购本公司旗下基金，可享受费率优惠，具体折扣费率以</w:t>
      </w:r>
      <w:r>
        <w:rPr>
          <w:rFonts w:ascii="宋体" w:hAnsi="宋体" w:hint="eastAsia"/>
          <w:color w:val="000000"/>
          <w:sz w:val="24"/>
          <w:szCs w:val="24"/>
        </w:rPr>
        <w:t>东方财富证券</w:t>
      </w:r>
      <w:r>
        <w:rPr>
          <w:rFonts w:ascii="宋体" w:eastAsia="宋体" w:hAnsi="宋体" w:cs="Tahoma" w:hint="eastAsia"/>
          <w:color w:val="000000" w:themeColor="text1"/>
          <w:kern w:val="0"/>
          <w:sz w:val="24"/>
          <w:szCs w:val="28"/>
        </w:rPr>
        <w:t>的</w:t>
      </w:r>
      <w:r>
        <w:rPr>
          <w:rFonts w:ascii="宋体" w:eastAsia="宋体" w:hAnsi="宋体" w:cs="Tahoma"/>
          <w:color w:val="000000" w:themeColor="text1"/>
          <w:kern w:val="0"/>
          <w:sz w:val="24"/>
          <w:szCs w:val="28"/>
        </w:rPr>
        <w:t>活动为准。基金费率请详见基金合同、招募说明书（更新）等法律文件，以及本公司发布的最新业务公告。</w:t>
      </w:r>
      <w:r>
        <w:rPr>
          <w:rFonts w:ascii="宋体" w:eastAsia="宋体" w:hAnsi="宋体" w:cs="Tahoma"/>
          <w:color w:val="000000" w:themeColor="text1"/>
          <w:kern w:val="0"/>
          <w:sz w:val="24"/>
          <w:szCs w:val="28"/>
        </w:rPr>
        <w:br/>
      </w:r>
      <w:r>
        <w:rPr>
          <w:rFonts w:ascii="宋体" w:eastAsia="宋体" w:hAnsi="宋体" w:cs="Tahoma" w:hint="eastAsia"/>
          <w:color w:val="000000" w:themeColor="text1"/>
          <w:kern w:val="0"/>
          <w:sz w:val="24"/>
          <w:szCs w:val="28"/>
        </w:rPr>
        <w:t xml:space="preserve">    </w:t>
      </w:r>
      <w:r>
        <w:rPr>
          <w:rFonts w:ascii="宋体" w:eastAsia="宋体" w:hAnsi="宋体" w:cs="Tahoma"/>
          <w:color w:val="000000" w:themeColor="text1"/>
          <w:kern w:val="0"/>
          <w:sz w:val="24"/>
          <w:szCs w:val="28"/>
        </w:rPr>
        <w:t>费率优惠期限内，如本公司新增通过</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代销的基金产品，则自该基金产品开放申购当日起，将同时</w:t>
      </w:r>
      <w:r>
        <w:rPr>
          <w:rFonts w:ascii="宋体" w:eastAsia="宋体" w:hAnsi="宋体" w:cs="Tahoma" w:hint="eastAsia"/>
          <w:color w:val="000000" w:themeColor="text1"/>
          <w:kern w:val="0"/>
          <w:sz w:val="24"/>
          <w:szCs w:val="28"/>
        </w:rPr>
        <w:t>参与</w:t>
      </w:r>
      <w:r>
        <w:rPr>
          <w:rFonts w:ascii="宋体" w:eastAsia="宋体" w:hAnsi="宋体" w:cs="Tahoma"/>
          <w:color w:val="000000" w:themeColor="text1"/>
          <w:kern w:val="0"/>
          <w:sz w:val="24"/>
          <w:szCs w:val="28"/>
        </w:rPr>
        <w:t>上述优惠活动。费率优惠期限以</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所示公告为准。</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4</w:t>
      </w:r>
      <w:r>
        <w:rPr>
          <w:rFonts w:ascii="宋体" w:eastAsia="宋体" w:hAnsi="宋体" w:cs="Tahoma"/>
          <w:color w:val="000000" w:themeColor="text1"/>
          <w:kern w:val="0"/>
          <w:sz w:val="24"/>
          <w:szCs w:val="28"/>
        </w:rPr>
        <w:t>、重要提示</w:t>
      </w:r>
      <w:r>
        <w:rPr>
          <w:rFonts w:ascii="宋体" w:eastAsia="宋体" w:hAnsi="宋体" w:cs="Tahoma"/>
          <w:color w:val="000000" w:themeColor="text1"/>
          <w:kern w:val="0"/>
          <w:sz w:val="24"/>
          <w:szCs w:val="28"/>
        </w:rPr>
        <w:t xml:space="preserve"> </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本次费率优惠活动的解释权归</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。优惠活动期间，业务办理的相关业务规则和流程以</w:t>
      </w:r>
      <w:r>
        <w:rPr>
          <w:rFonts w:ascii="宋体" w:hAnsi="宋体" w:hint="eastAsia"/>
          <w:color w:val="000000"/>
          <w:sz w:val="24"/>
          <w:szCs w:val="24"/>
        </w:rPr>
        <w:t>东方财富证券</w:t>
      </w:r>
      <w:r>
        <w:rPr>
          <w:rFonts w:ascii="宋体" w:eastAsia="宋体" w:hAnsi="宋体" w:cs="Tahoma"/>
          <w:color w:val="000000" w:themeColor="text1"/>
          <w:kern w:val="0"/>
          <w:sz w:val="24"/>
          <w:szCs w:val="28"/>
        </w:rPr>
        <w:t>的安排和规定为准。</w:t>
      </w:r>
    </w:p>
    <w:p w:rsidR="00C307E4" w:rsidRDefault="00857C91">
      <w:pPr>
        <w:widowControl/>
        <w:spacing w:afterLines="50" w:after="156" w:line="460" w:lineRule="exact"/>
        <w:ind w:firstLineChars="200" w:firstLine="480"/>
        <w:rPr>
          <w:rFonts w:ascii="宋体" w:hAnsi="宋体" w:cs="Tahoma"/>
          <w:color w:val="000000" w:themeColor="text1"/>
          <w:kern w:val="0"/>
          <w:sz w:val="24"/>
          <w:szCs w:val="28"/>
        </w:rPr>
      </w:pPr>
      <w:r>
        <w:rPr>
          <w:rFonts w:ascii="宋体" w:hAnsi="宋体" w:cs="Tahoma" w:hint="eastAsia"/>
          <w:color w:val="000000" w:themeColor="text1"/>
          <w:kern w:val="0"/>
          <w:sz w:val="24"/>
          <w:szCs w:val="28"/>
        </w:rPr>
        <w:t>投资者可以通过以下途径咨询有关详情：</w:t>
      </w:r>
    </w:p>
    <w:p w:rsidR="00C307E4" w:rsidRDefault="00857C91">
      <w:pPr>
        <w:widowControl/>
        <w:spacing w:afterLines="50" w:after="156" w:line="460" w:lineRule="exact"/>
        <w:ind w:firstLineChars="200" w:firstLine="480"/>
        <w:rPr>
          <w:rFonts w:ascii="宋体" w:hAnsi="宋体" w:cs="Tahoma"/>
          <w:color w:val="000000" w:themeColor="text1"/>
          <w:kern w:val="0"/>
          <w:sz w:val="24"/>
          <w:szCs w:val="28"/>
        </w:rPr>
      </w:pPr>
      <w:r>
        <w:rPr>
          <w:rFonts w:ascii="宋体" w:hAnsi="宋体" w:cs="Tahoma" w:hint="eastAsia"/>
          <w:color w:val="000000" w:themeColor="text1"/>
          <w:kern w:val="0"/>
          <w:sz w:val="24"/>
          <w:szCs w:val="28"/>
        </w:rPr>
        <w:t>1</w:t>
      </w:r>
      <w:r>
        <w:rPr>
          <w:rFonts w:ascii="宋体" w:hAnsi="宋体" w:cs="Tahoma" w:hint="eastAsia"/>
          <w:color w:val="000000" w:themeColor="text1"/>
          <w:kern w:val="0"/>
          <w:sz w:val="24"/>
          <w:szCs w:val="28"/>
        </w:rPr>
        <w:t>、</w:t>
      </w:r>
      <w:r>
        <w:rPr>
          <w:rFonts w:ascii="宋体" w:hAnsi="宋体" w:hint="eastAsia"/>
          <w:color w:val="000000"/>
          <w:sz w:val="24"/>
          <w:szCs w:val="24"/>
        </w:rPr>
        <w:t>西藏东方财富证券股份有限公司</w:t>
      </w:r>
    </w:p>
    <w:p w:rsidR="00C307E4" w:rsidRDefault="00857C91">
      <w:pPr>
        <w:spacing w:afterLines="50" w:after="156" w:line="460" w:lineRule="exact"/>
        <w:ind w:left="480"/>
        <w:rPr>
          <w:rFonts w:ascii="宋体" w:hAnsi="宋体"/>
          <w:color w:val="000000"/>
          <w:sz w:val="24"/>
          <w:szCs w:val="24"/>
        </w:rPr>
      </w:pPr>
      <w:r>
        <w:rPr>
          <w:rFonts w:ascii="宋体" w:hAnsi="宋体" w:hint="eastAsia"/>
          <w:color w:val="000000"/>
          <w:sz w:val="24"/>
          <w:szCs w:val="24"/>
        </w:rPr>
        <w:t>客服电话：</w:t>
      </w:r>
      <w:r>
        <w:rPr>
          <w:rFonts w:ascii="宋体" w:hAnsi="宋体" w:hint="eastAsia"/>
          <w:color w:val="000000"/>
          <w:sz w:val="24"/>
          <w:szCs w:val="24"/>
        </w:rPr>
        <w:t xml:space="preserve">95357 </w:t>
      </w:r>
    </w:p>
    <w:p w:rsidR="00C307E4" w:rsidRDefault="00857C91">
      <w:pPr>
        <w:widowControl/>
        <w:spacing w:afterLines="50" w:after="156" w:line="460" w:lineRule="exact"/>
        <w:ind w:firstLineChars="200" w:firstLine="480"/>
        <w:rPr>
          <w:rFonts w:ascii="宋体" w:hAnsi="宋体"/>
          <w:color w:val="000000"/>
          <w:sz w:val="24"/>
          <w:szCs w:val="24"/>
        </w:rPr>
      </w:pPr>
      <w:r>
        <w:rPr>
          <w:rFonts w:ascii="宋体" w:hAnsi="宋体" w:hint="eastAsia"/>
          <w:color w:val="000000"/>
          <w:sz w:val="24"/>
          <w:szCs w:val="24"/>
        </w:rPr>
        <w:t>网站：</w:t>
      </w:r>
      <w:hyperlink r:id="rId9" w:history="1">
        <w:r>
          <w:rPr>
            <w:rStyle w:val="ab"/>
            <w:rFonts w:ascii="宋体" w:hAnsi="宋体" w:hint="eastAsia"/>
            <w:sz w:val="24"/>
            <w:szCs w:val="24"/>
          </w:rPr>
          <w:t>http://www.18.cn</w:t>
        </w:r>
      </w:hyperlink>
    </w:p>
    <w:p w:rsidR="00C307E4" w:rsidRDefault="00857C91">
      <w:pPr>
        <w:widowControl/>
        <w:spacing w:afterLines="50" w:after="156" w:line="460" w:lineRule="exact"/>
        <w:ind w:firstLineChars="200" w:firstLine="480"/>
        <w:rPr>
          <w:rFonts w:ascii="宋体" w:eastAsia="宋体" w:hAnsi="宋体" w:cs="Tahoma"/>
          <w:kern w:val="0"/>
          <w:sz w:val="24"/>
          <w:szCs w:val="28"/>
        </w:rPr>
      </w:pPr>
      <w:r>
        <w:rPr>
          <w:rFonts w:ascii="宋体" w:eastAsia="宋体" w:hAnsi="宋体" w:cs="Tahoma" w:hint="eastAsia"/>
          <w:kern w:val="0"/>
          <w:sz w:val="24"/>
          <w:szCs w:val="28"/>
        </w:rPr>
        <w:t>2</w:t>
      </w:r>
      <w:r>
        <w:rPr>
          <w:rFonts w:ascii="宋体" w:eastAsia="宋体" w:hAnsi="宋体" w:cs="Tahoma" w:hint="eastAsia"/>
          <w:kern w:val="0"/>
          <w:sz w:val="24"/>
          <w:szCs w:val="28"/>
        </w:rPr>
        <w:t>、万家基金管理有限公司</w:t>
      </w:r>
    </w:p>
    <w:p w:rsidR="00C307E4" w:rsidRDefault="00857C91">
      <w:pPr>
        <w:widowControl/>
        <w:spacing w:afterLines="50" w:after="156" w:line="460" w:lineRule="exact"/>
        <w:ind w:firstLineChars="200" w:firstLine="480"/>
        <w:rPr>
          <w:rFonts w:ascii="宋体" w:eastAsia="宋体" w:hAnsi="宋体" w:cs="Tahoma"/>
          <w:kern w:val="0"/>
          <w:sz w:val="24"/>
          <w:szCs w:val="28"/>
        </w:rPr>
      </w:pPr>
      <w:r>
        <w:rPr>
          <w:rFonts w:ascii="宋体" w:eastAsia="宋体" w:hAnsi="宋体" w:cs="Tahoma" w:hint="eastAsia"/>
          <w:kern w:val="0"/>
          <w:sz w:val="24"/>
          <w:szCs w:val="28"/>
        </w:rPr>
        <w:lastRenderedPageBreak/>
        <w:t>客服电话：</w:t>
      </w:r>
      <w:r>
        <w:rPr>
          <w:rFonts w:ascii="宋体" w:eastAsia="宋体" w:hAnsi="宋体" w:cs="Tahoma" w:hint="eastAsia"/>
          <w:kern w:val="0"/>
          <w:sz w:val="24"/>
          <w:szCs w:val="28"/>
        </w:rPr>
        <w:t>95538</w:t>
      </w:r>
      <w:r>
        <w:rPr>
          <w:rFonts w:ascii="宋体" w:eastAsia="宋体" w:hAnsi="宋体" w:cs="Tahoma" w:hint="eastAsia"/>
          <w:kern w:val="0"/>
          <w:sz w:val="24"/>
          <w:szCs w:val="28"/>
        </w:rPr>
        <w:t>转</w:t>
      </w:r>
      <w:r>
        <w:rPr>
          <w:rFonts w:ascii="宋体" w:eastAsia="宋体" w:hAnsi="宋体" w:cs="Tahoma" w:hint="eastAsia"/>
          <w:kern w:val="0"/>
          <w:sz w:val="24"/>
          <w:szCs w:val="28"/>
        </w:rPr>
        <w:t>6</w:t>
      </w:r>
      <w:r>
        <w:rPr>
          <w:rFonts w:ascii="宋体" w:eastAsia="宋体" w:hAnsi="宋体" w:cs="Tahoma" w:hint="eastAsia"/>
          <w:kern w:val="0"/>
          <w:sz w:val="24"/>
          <w:szCs w:val="28"/>
        </w:rPr>
        <w:t>、</w:t>
      </w:r>
      <w:r>
        <w:rPr>
          <w:rFonts w:ascii="宋体" w:eastAsia="宋体" w:hAnsi="宋体" w:cs="Tahoma" w:hint="eastAsia"/>
          <w:kern w:val="0"/>
          <w:sz w:val="24"/>
          <w:szCs w:val="28"/>
        </w:rPr>
        <w:t>400-888-0800</w:t>
      </w:r>
    </w:p>
    <w:p w:rsidR="00C307E4" w:rsidRDefault="00857C91">
      <w:pPr>
        <w:widowControl/>
        <w:spacing w:afterLines="50" w:after="156" w:line="460" w:lineRule="exact"/>
        <w:ind w:firstLineChars="200" w:firstLine="480"/>
        <w:rPr>
          <w:rFonts w:ascii="宋体" w:eastAsia="宋体" w:hAnsi="宋体" w:cs="Tahoma"/>
          <w:kern w:val="0"/>
          <w:sz w:val="24"/>
          <w:szCs w:val="28"/>
        </w:rPr>
      </w:pPr>
      <w:r>
        <w:rPr>
          <w:rFonts w:ascii="宋体" w:eastAsia="宋体" w:hAnsi="宋体" w:cs="Tahoma" w:hint="eastAsia"/>
          <w:kern w:val="0"/>
          <w:sz w:val="24"/>
          <w:szCs w:val="28"/>
        </w:rPr>
        <w:t>客服传真：</w:t>
      </w:r>
      <w:r>
        <w:rPr>
          <w:rFonts w:ascii="宋体" w:eastAsia="宋体" w:hAnsi="宋体" w:cs="Tahoma" w:hint="eastAsia"/>
          <w:kern w:val="0"/>
          <w:sz w:val="24"/>
          <w:szCs w:val="28"/>
        </w:rPr>
        <w:t>021-38909778</w:t>
      </w:r>
    </w:p>
    <w:p w:rsidR="00C307E4" w:rsidRDefault="00857C91">
      <w:pPr>
        <w:widowControl/>
        <w:spacing w:afterLines="50" w:after="156" w:line="460" w:lineRule="exact"/>
        <w:ind w:firstLineChars="200" w:firstLine="480"/>
        <w:rPr>
          <w:rFonts w:ascii="宋体" w:eastAsia="宋体" w:hAnsi="宋体"/>
          <w:bCs/>
          <w:kern w:val="0"/>
          <w:sz w:val="24"/>
          <w:szCs w:val="28"/>
        </w:rPr>
      </w:pPr>
      <w:r>
        <w:rPr>
          <w:rFonts w:ascii="宋体" w:eastAsia="宋体" w:hAnsi="宋体" w:cs="Tahoma" w:hint="eastAsia"/>
          <w:kern w:val="0"/>
          <w:sz w:val="24"/>
          <w:szCs w:val="28"/>
        </w:rPr>
        <w:t>网址：</w:t>
      </w:r>
      <w:r>
        <w:rPr>
          <w:rFonts w:ascii="宋体" w:eastAsia="宋体" w:hAnsi="宋体" w:cs="Tahoma" w:hint="eastAsia"/>
          <w:kern w:val="0"/>
          <w:sz w:val="24"/>
          <w:szCs w:val="28"/>
        </w:rPr>
        <w:t xml:space="preserve">www.wjasset.com </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风险提示：</w:t>
      </w:r>
      <w:r>
        <w:rPr>
          <w:rFonts w:ascii="宋体" w:eastAsia="宋体" w:hAnsi="宋体" w:cs="Tahoma" w:hint="eastAsia"/>
          <w:color w:val="000000" w:themeColor="text1"/>
          <w:kern w:val="0"/>
          <w:sz w:val="24"/>
          <w:szCs w:val="28"/>
        </w:rPr>
        <w:t>敬请</w:t>
      </w:r>
      <w:r>
        <w:rPr>
          <w:rFonts w:ascii="宋体" w:eastAsia="宋体" w:hAnsi="宋体" w:cs="Tahoma"/>
          <w:color w:val="000000" w:themeColor="text1"/>
          <w:kern w:val="0"/>
          <w:sz w:val="24"/>
          <w:szCs w:val="28"/>
        </w:rPr>
        <w:t>投资者</w:t>
      </w:r>
      <w:r>
        <w:rPr>
          <w:rFonts w:ascii="宋体" w:eastAsia="宋体" w:hAnsi="宋体" w:cs="Tahoma" w:hint="eastAsia"/>
          <w:color w:val="000000" w:themeColor="text1"/>
          <w:kern w:val="0"/>
          <w:sz w:val="24"/>
          <w:szCs w:val="28"/>
        </w:rPr>
        <w:t>于投资前认真阅读</w:t>
      </w:r>
      <w:r>
        <w:rPr>
          <w:rFonts w:ascii="宋体" w:eastAsia="宋体" w:hAnsi="宋体" w:cs="Tahoma"/>
          <w:color w:val="000000" w:themeColor="text1"/>
          <w:kern w:val="0"/>
          <w:sz w:val="24"/>
          <w:szCs w:val="28"/>
        </w:rPr>
        <w:t>各基金的《基金合同》和《招募说明书》</w:t>
      </w:r>
      <w:r>
        <w:rPr>
          <w:rFonts w:ascii="宋体" w:eastAsia="宋体" w:hAnsi="宋体" w:cs="Tahoma" w:hint="eastAsia"/>
          <w:color w:val="000000" w:themeColor="text1"/>
          <w:kern w:val="0"/>
          <w:sz w:val="24"/>
          <w:szCs w:val="28"/>
        </w:rPr>
        <w:t>等法律文件</w:t>
      </w:r>
      <w:r>
        <w:rPr>
          <w:rFonts w:ascii="宋体" w:eastAsia="宋体" w:hAnsi="宋体" w:cs="Tahoma"/>
          <w:color w:val="000000" w:themeColor="text1"/>
          <w:kern w:val="0"/>
          <w:sz w:val="24"/>
          <w:szCs w:val="28"/>
        </w:rPr>
        <w:t>，基金管理人</w:t>
      </w:r>
      <w:r>
        <w:rPr>
          <w:rFonts w:ascii="宋体" w:eastAsia="宋体" w:hAnsi="宋体" w:cs="Tahoma" w:hint="eastAsia"/>
          <w:color w:val="000000" w:themeColor="text1"/>
          <w:kern w:val="0"/>
          <w:sz w:val="24"/>
          <w:szCs w:val="28"/>
        </w:rPr>
        <w:t>承诺以诚实信用、勤勉尽责的原则管理和运用基金资产，但</w:t>
      </w:r>
      <w:r>
        <w:rPr>
          <w:rFonts w:ascii="宋体" w:eastAsia="宋体" w:hAnsi="宋体" w:cs="Tahoma"/>
          <w:color w:val="000000" w:themeColor="text1"/>
          <w:kern w:val="0"/>
          <w:sz w:val="24"/>
          <w:szCs w:val="28"/>
        </w:rPr>
        <w:t>不承诺基金投资最低收益、也不保证基金投资一定赢利，请投资者在充分考虑风险的情况下谨慎</w:t>
      </w:r>
      <w:r>
        <w:rPr>
          <w:rFonts w:ascii="宋体" w:eastAsia="宋体" w:hAnsi="宋体" w:cs="Tahoma" w:hint="eastAsia"/>
          <w:color w:val="000000" w:themeColor="text1"/>
          <w:kern w:val="0"/>
          <w:sz w:val="24"/>
          <w:szCs w:val="28"/>
        </w:rPr>
        <w:t>做</w:t>
      </w:r>
      <w:r>
        <w:rPr>
          <w:rFonts w:ascii="宋体" w:eastAsia="宋体" w:hAnsi="宋体" w:cs="Tahoma"/>
          <w:color w:val="000000" w:themeColor="text1"/>
          <w:kern w:val="0"/>
          <w:sz w:val="24"/>
          <w:szCs w:val="28"/>
        </w:rPr>
        <w:t>出投资决策</w:t>
      </w:r>
      <w:r>
        <w:rPr>
          <w:rFonts w:ascii="宋体" w:eastAsia="宋体" w:hAnsi="宋体" w:cs="Tahoma" w:hint="eastAsia"/>
          <w:color w:val="000000" w:themeColor="text1"/>
          <w:kern w:val="0"/>
          <w:sz w:val="24"/>
          <w:szCs w:val="28"/>
        </w:rPr>
        <w:t>，在做出投资决策后，基金运营状况与基金净值变化引致的投资风险，由投资者自行负担。投资者应当充分了解基金定期定额投资和零存整取等储蓄方式的区别。定期定额投资是引导投资者进行长期投资、平均投资成本的一种简单易行的投资方式。但是定期定额投资并不能规避基金投资所固有的风险</w:t>
      </w:r>
      <w:r>
        <w:rPr>
          <w:rFonts w:ascii="宋体" w:eastAsia="宋体" w:hAnsi="宋体" w:cs="Tahoma" w:hint="eastAsia"/>
          <w:color w:val="000000" w:themeColor="text1"/>
          <w:kern w:val="0"/>
          <w:sz w:val="24"/>
          <w:szCs w:val="28"/>
        </w:rPr>
        <w:t>,</w:t>
      </w:r>
      <w:r>
        <w:rPr>
          <w:rFonts w:ascii="宋体" w:eastAsia="宋体" w:hAnsi="宋体" w:cs="Tahoma" w:hint="eastAsia"/>
          <w:color w:val="000000" w:themeColor="text1"/>
          <w:kern w:val="0"/>
          <w:sz w:val="24"/>
          <w:szCs w:val="28"/>
        </w:rPr>
        <w:t>不能保证投资者获得收益</w:t>
      </w:r>
      <w:r>
        <w:rPr>
          <w:rFonts w:ascii="宋体" w:eastAsia="宋体" w:hAnsi="宋体" w:cs="Tahoma" w:hint="eastAsia"/>
          <w:color w:val="000000" w:themeColor="text1"/>
          <w:kern w:val="0"/>
          <w:sz w:val="24"/>
          <w:szCs w:val="28"/>
        </w:rPr>
        <w:t>,</w:t>
      </w:r>
      <w:r>
        <w:rPr>
          <w:rFonts w:ascii="宋体" w:eastAsia="宋体" w:hAnsi="宋体" w:cs="Tahoma" w:hint="eastAsia"/>
          <w:color w:val="000000" w:themeColor="text1"/>
          <w:kern w:val="0"/>
          <w:sz w:val="24"/>
          <w:szCs w:val="28"/>
        </w:rPr>
        <w:t>也不是替代储蓄的等效理财方式。</w:t>
      </w:r>
    </w:p>
    <w:p w:rsidR="00C307E4" w:rsidRDefault="00857C91">
      <w:pPr>
        <w:widowControl/>
        <w:spacing w:afterLines="50" w:after="156" w:line="460" w:lineRule="exact"/>
        <w:ind w:firstLineChars="200" w:firstLine="480"/>
        <w:rPr>
          <w:rFonts w:ascii="宋体" w:eastAsia="宋体" w:hAnsi="宋体" w:cs="Tahoma"/>
          <w:color w:val="000000" w:themeColor="text1"/>
          <w:kern w:val="0"/>
          <w:sz w:val="24"/>
          <w:szCs w:val="28"/>
        </w:rPr>
      </w:pPr>
      <w:r>
        <w:rPr>
          <w:rFonts w:ascii="宋体" w:eastAsia="宋体" w:hAnsi="宋体" w:cs="Tahoma"/>
          <w:color w:val="000000" w:themeColor="text1"/>
          <w:kern w:val="0"/>
          <w:sz w:val="24"/>
          <w:szCs w:val="28"/>
        </w:rPr>
        <w:t>特此公告。</w:t>
      </w:r>
    </w:p>
    <w:p w:rsidR="00C307E4" w:rsidRPr="009F481B" w:rsidRDefault="00857C91">
      <w:pPr>
        <w:widowControl/>
        <w:spacing w:afterLines="50" w:after="156" w:line="460" w:lineRule="exact"/>
        <w:ind w:firstLineChars="200" w:firstLine="480"/>
        <w:jc w:val="right"/>
        <w:rPr>
          <w:rFonts w:ascii="宋体" w:eastAsia="宋体" w:hAnsi="宋体"/>
          <w:bCs/>
          <w:color w:val="000000" w:themeColor="text1"/>
          <w:kern w:val="0"/>
          <w:sz w:val="24"/>
          <w:szCs w:val="28"/>
        </w:rPr>
      </w:pPr>
      <w:r>
        <w:rPr>
          <w:rFonts w:ascii="宋体" w:eastAsia="宋体" w:hAnsi="宋体"/>
          <w:bCs/>
          <w:color w:val="000000" w:themeColor="text1"/>
          <w:kern w:val="0"/>
          <w:sz w:val="24"/>
          <w:szCs w:val="28"/>
        </w:rPr>
        <w:t>万家基金管理有限公司</w:t>
      </w:r>
      <w:r>
        <w:rPr>
          <w:rFonts w:ascii="宋体" w:eastAsia="宋体" w:hAnsi="宋体"/>
          <w:bCs/>
          <w:color w:val="000000" w:themeColor="text1"/>
          <w:kern w:val="0"/>
          <w:sz w:val="24"/>
          <w:szCs w:val="28"/>
        </w:rPr>
        <w:br/>
      </w:r>
      <w:r w:rsidRPr="009F481B">
        <w:rPr>
          <w:rFonts w:ascii="宋体" w:hAnsi="宋体" w:cs="Tahoma" w:hint="eastAsia"/>
          <w:color w:val="000000" w:themeColor="text1"/>
          <w:kern w:val="0"/>
          <w:sz w:val="24"/>
          <w:szCs w:val="28"/>
        </w:rPr>
        <w:t>2018</w:t>
      </w:r>
      <w:r w:rsidRPr="009F481B">
        <w:rPr>
          <w:rFonts w:ascii="宋体" w:hAnsi="宋体" w:cs="Tahoma" w:hint="eastAsia"/>
          <w:color w:val="000000" w:themeColor="text1"/>
          <w:kern w:val="0"/>
          <w:sz w:val="24"/>
          <w:szCs w:val="28"/>
        </w:rPr>
        <w:t>年</w:t>
      </w:r>
      <w:r w:rsidRPr="009F481B">
        <w:rPr>
          <w:rFonts w:ascii="宋体" w:hAnsi="宋体" w:cs="Tahoma" w:hint="eastAsia"/>
          <w:color w:val="000000" w:themeColor="text1"/>
          <w:kern w:val="0"/>
          <w:sz w:val="24"/>
          <w:szCs w:val="28"/>
        </w:rPr>
        <w:t>12</w:t>
      </w:r>
      <w:r w:rsidRPr="009F481B">
        <w:rPr>
          <w:rFonts w:ascii="宋体" w:hAnsi="宋体" w:cs="Tahoma" w:hint="eastAsia"/>
          <w:color w:val="000000" w:themeColor="text1"/>
          <w:kern w:val="0"/>
          <w:sz w:val="24"/>
          <w:szCs w:val="28"/>
        </w:rPr>
        <w:t>月</w:t>
      </w:r>
      <w:r w:rsidR="009F481B" w:rsidRPr="009F481B">
        <w:rPr>
          <w:rFonts w:ascii="宋体" w:hAnsi="宋体" w:cs="Tahoma" w:hint="eastAsia"/>
          <w:color w:val="000000" w:themeColor="text1"/>
          <w:kern w:val="0"/>
          <w:sz w:val="24"/>
          <w:szCs w:val="28"/>
        </w:rPr>
        <w:t>29</w:t>
      </w:r>
      <w:r w:rsidRPr="009F481B">
        <w:rPr>
          <w:rFonts w:ascii="宋体" w:hAnsi="宋体" w:cs="Tahoma" w:hint="eastAsia"/>
          <w:color w:val="000000" w:themeColor="text1"/>
          <w:kern w:val="0"/>
          <w:sz w:val="24"/>
          <w:szCs w:val="28"/>
        </w:rPr>
        <w:t>日</w:t>
      </w:r>
    </w:p>
    <w:p w:rsidR="00C307E4" w:rsidRDefault="00C307E4">
      <w:pPr>
        <w:rPr>
          <w:color w:val="000000" w:themeColor="text1"/>
        </w:rPr>
      </w:pPr>
    </w:p>
    <w:sectPr w:rsidR="00C307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91" w:rsidRDefault="00857C91" w:rsidP="009F481B">
      <w:r>
        <w:separator/>
      </w:r>
    </w:p>
  </w:endnote>
  <w:endnote w:type="continuationSeparator" w:id="0">
    <w:p w:rsidR="00857C91" w:rsidRDefault="00857C91" w:rsidP="009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91" w:rsidRDefault="00857C91" w:rsidP="009F481B">
      <w:r>
        <w:separator/>
      </w:r>
    </w:p>
  </w:footnote>
  <w:footnote w:type="continuationSeparator" w:id="0">
    <w:p w:rsidR="00857C91" w:rsidRDefault="00857C91" w:rsidP="009F4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502B0"/>
    <w:multiLevelType w:val="multilevel"/>
    <w:tmpl w:val="2B6502B0"/>
    <w:lvl w:ilvl="0">
      <w:start w:val="1"/>
      <w:numFmt w:val="japaneseCounting"/>
      <w:lvlText w:val="%1、"/>
      <w:lvlJc w:val="left"/>
      <w:pPr>
        <w:ind w:left="905" w:hanging="48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8C"/>
    <w:rsid w:val="00013E17"/>
    <w:rsid w:val="00034B49"/>
    <w:rsid w:val="000354D2"/>
    <w:rsid w:val="00041017"/>
    <w:rsid w:val="0005127D"/>
    <w:rsid w:val="00080FD8"/>
    <w:rsid w:val="00096DA1"/>
    <w:rsid w:val="000A301D"/>
    <w:rsid w:val="000C24BB"/>
    <w:rsid w:val="000C3419"/>
    <w:rsid w:val="000E373C"/>
    <w:rsid w:val="000E3FC4"/>
    <w:rsid w:val="0010344F"/>
    <w:rsid w:val="001362CA"/>
    <w:rsid w:val="00141468"/>
    <w:rsid w:val="00145026"/>
    <w:rsid w:val="001713EC"/>
    <w:rsid w:val="00180424"/>
    <w:rsid w:val="00190BF3"/>
    <w:rsid w:val="00194B18"/>
    <w:rsid w:val="001B27BC"/>
    <w:rsid w:val="001B65AC"/>
    <w:rsid w:val="001C59A3"/>
    <w:rsid w:val="001D64B0"/>
    <w:rsid w:val="00225F29"/>
    <w:rsid w:val="00226CF6"/>
    <w:rsid w:val="00254C51"/>
    <w:rsid w:val="00255DAD"/>
    <w:rsid w:val="002606E3"/>
    <w:rsid w:val="00264568"/>
    <w:rsid w:val="00285775"/>
    <w:rsid w:val="002D58B1"/>
    <w:rsid w:val="002E268D"/>
    <w:rsid w:val="003004F0"/>
    <w:rsid w:val="00306CAA"/>
    <w:rsid w:val="00336255"/>
    <w:rsid w:val="003449DD"/>
    <w:rsid w:val="003455CF"/>
    <w:rsid w:val="00355611"/>
    <w:rsid w:val="0039132D"/>
    <w:rsid w:val="003E2CA8"/>
    <w:rsid w:val="003E6464"/>
    <w:rsid w:val="00403706"/>
    <w:rsid w:val="00413856"/>
    <w:rsid w:val="004315BB"/>
    <w:rsid w:val="004721F1"/>
    <w:rsid w:val="00472B09"/>
    <w:rsid w:val="00472C73"/>
    <w:rsid w:val="004C5779"/>
    <w:rsid w:val="004C7B6E"/>
    <w:rsid w:val="004E04A5"/>
    <w:rsid w:val="004F27BE"/>
    <w:rsid w:val="00500B14"/>
    <w:rsid w:val="00510ED6"/>
    <w:rsid w:val="00515A84"/>
    <w:rsid w:val="00525D79"/>
    <w:rsid w:val="00555C83"/>
    <w:rsid w:val="00577147"/>
    <w:rsid w:val="005A2556"/>
    <w:rsid w:val="005B5674"/>
    <w:rsid w:val="005F264B"/>
    <w:rsid w:val="005F6BDA"/>
    <w:rsid w:val="005F7F66"/>
    <w:rsid w:val="00606C4B"/>
    <w:rsid w:val="00616419"/>
    <w:rsid w:val="0062085E"/>
    <w:rsid w:val="006304B9"/>
    <w:rsid w:val="00631E39"/>
    <w:rsid w:val="00645AB5"/>
    <w:rsid w:val="00665E5D"/>
    <w:rsid w:val="00667664"/>
    <w:rsid w:val="006C360F"/>
    <w:rsid w:val="006D0EED"/>
    <w:rsid w:val="006F6903"/>
    <w:rsid w:val="00705AA8"/>
    <w:rsid w:val="00716B6A"/>
    <w:rsid w:val="00725F85"/>
    <w:rsid w:val="00760399"/>
    <w:rsid w:val="007638E3"/>
    <w:rsid w:val="0077284C"/>
    <w:rsid w:val="007874F3"/>
    <w:rsid w:val="00795F3F"/>
    <w:rsid w:val="007A152C"/>
    <w:rsid w:val="007B7F0B"/>
    <w:rsid w:val="007C139B"/>
    <w:rsid w:val="007C4522"/>
    <w:rsid w:val="007D64CA"/>
    <w:rsid w:val="00836BF0"/>
    <w:rsid w:val="0084340C"/>
    <w:rsid w:val="00857C91"/>
    <w:rsid w:val="008714F1"/>
    <w:rsid w:val="00873EE5"/>
    <w:rsid w:val="0088688C"/>
    <w:rsid w:val="00887357"/>
    <w:rsid w:val="0089092D"/>
    <w:rsid w:val="008916F3"/>
    <w:rsid w:val="008B4890"/>
    <w:rsid w:val="008D55AB"/>
    <w:rsid w:val="008D59A8"/>
    <w:rsid w:val="008E0470"/>
    <w:rsid w:val="008E6607"/>
    <w:rsid w:val="00922B82"/>
    <w:rsid w:val="00942824"/>
    <w:rsid w:val="00952D1D"/>
    <w:rsid w:val="00966B99"/>
    <w:rsid w:val="009A0AE2"/>
    <w:rsid w:val="009D177E"/>
    <w:rsid w:val="009D67B1"/>
    <w:rsid w:val="009E0642"/>
    <w:rsid w:val="009E441B"/>
    <w:rsid w:val="009F481B"/>
    <w:rsid w:val="009F796D"/>
    <w:rsid w:val="00A01FB2"/>
    <w:rsid w:val="00A05882"/>
    <w:rsid w:val="00A16E5E"/>
    <w:rsid w:val="00A42C82"/>
    <w:rsid w:val="00A62C4C"/>
    <w:rsid w:val="00A6331E"/>
    <w:rsid w:val="00AA066B"/>
    <w:rsid w:val="00AA0C27"/>
    <w:rsid w:val="00AC6E1A"/>
    <w:rsid w:val="00AC7E51"/>
    <w:rsid w:val="00B04B17"/>
    <w:rsid w:val="00B11C48"/>
    <w:rsid w:val="00B12731"/>
    <w:rsid w:val="00B26A6C"/>
    <w:rsid w:val="00B2780C"/>
    <w:rsid w:val="00B33A05"/>
    <w:rsid w:val="00B42046"/>
    <w:rsid w:val="00B46CB0"/>
    <w:rsid w:val="00B514BD"/>
    <w:rsid w:val="00B532E3"/>
    <w:rsid w:val="00B678B4"/>
    <w:rsid w:val="00B84716"/>
    <w:rsid w:val="00B9373C"/>
    <w:rsid w:val="00BF3E01"/>
    <w:rsid w:val="00C01DBA"/>
    <w:rsid w:val="00C024C1"/>
    <w:rsid w:val="00C02817"/>
    <w:rsid w:val="00C04103"/>
    <w:rsid w:val="00C139C8"/>
    <w:rsid w:val="00C230F2"/>
    <w:rsid w:val="00C27274"/>
    <w:rsid w:val="00C27505"/>
    <w:rsid w:val="00C307E4"/>
    <w:rsid w:val="00C3100C"/>
    <w:rsid w:val="00C35704"/>
    <w:rsid w:val="00C530E8"/>
    <w:rsid w:val="00C80A0A"/>
    <w:rsid w:val="00C94EF4"/>
    <w:rsid w:val="00CA7E8A"/>
    <w:rsid w:val="00CC331E"/>
    <w:rsid w:val="00D04985"/>
    <w:rsid w:val="00D23604"/>
    <w:rsid w:val="00D30BC8"/>
    <w:rsid w:val="00D4432B"/>
    <w:rsid w:val="00D530E3"/>
    <w:rsid w:val="00D96C1A"/>
    <w:rsid w:val="00DB6BF5"/>
    <w:rsid w:val="00DC0D4F"/>
    <w:rsid w:val="00DD1A8E"/>
    <w:rsid w:val="00E1492C"/>
    <w:rsid w:val="00E671FC"/>
    <w:rsid w:val="00E92812"/>
    <w:rsid w:val="00EA1E8C"/>
    <w:rsid w:val="00EB0364"/>
    <w:rsid w:val="00EC4869"/>
    <w:rsid w:val="00ED1F1C"/>
    <w:rsid w:val="00ED4C2B"/>
    <w:rsid w:val="00ED691C"/>
    <w:rsid w:val="00EF36B9"/>
    <w:rsid w:val="00F00B4F"/>
    <w:rsid w:val="00F0338A"/>
    <w:rsid w:val="00F07F0D"/>
    <w:rsid w:val="00F1245C"/>
    <w:rsid w:val="00F259BB"/>
    <w:rsid w:val="00F317F0"/>
    <w:rsid w:val="00F42B77"/>
    <w:rsid w:val="00F5671F"/>
    <w:rsid w:val="00FE01CD"/>
    <w:rsid w:val="00FF6706"/>
    <w:rsid w:val="11702E8B"/>
    <w:rsid w:val="4A3C5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Plain Text"/>
    <w:basedOn w:val="a"/>
    <w:link w:val="Char1"/>
    <w:uiPriority w:val="99"/>
    <w:unhideWhenUsed/>
    <w:qFormat/>
    <w:pPr>
      <w:jc w:val="left"/>
    </w:pPr>
    <w:rPr>
      <w:rFonts w:ascii="Calibri" w:eastAsia="宋体" w:hAnsi="Courier New" w:cs="Courier New"/>
      <w:szCs w:val="21"/>
    </w:rPr>
  </w:style>
  <w:style w:type="paragraph" w:styleId="2">
    <w:name w:val="Body Text Indent 2"/>
    <w:basedOn w:val="a"/>
    <w:link w:val="2Char"/>
    <w:uiPriority w:val="99"/>
    <w:semiHidden/>
    <w:unhideWhenUsed/>
    <w:qFormat/>
    <w:pPr>
      <w:spacing w:after="120" w:line="480" w:lineRule="auto"/>
      <w:ind w:leftChars="200" w:left="420"/>
    </w:pPr>
    <w:rPr>
      <w:rFonts w:ascii="Calibri" w:eastAsia="宋体" w:hAnsi="Calibri" w:cs="Times New Roman"/>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333333"/>
      <w:u w:val="none"/>
    </w:rPr>
  </w:style>
  <w:style w:type="character" w:styleId="ac">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纯文本 Char"/>
    <w:basedOn w:val="a0"/>
    <w:link w:val="a5"/>
    <w:uiPriority w:val="99"/>
    <w:qFormat/>
    <w:rPr>
      <w:rFonts w:ascii="Calibri" w:eastAsia="宋体" w:hAnsi="Courier New" w:cs="Courier New"/>
      <w:szCs w:val="21"/>
    </w:rPr>
  </w:style>
  <w:style w:type="character" w:customStyle="1" w:styleId="2Char">
    <w:name w:val="正文文本缩进 2 Char"/>
    <w:basedOn w:val="a0"/>
    <w:link w:val="2"/>
    <w:uiPriority w:val="99"/>
    <w:semiHidden/>
    <w:qFormat/>
    <w:rPr>
      <w:rFonts w:ascii="Calibri" w:eastAsia="宋体" w:hAnsi="Calibri" w:cs="Times New Roman"/>
    </w:rPr>
  </w:style>
  <w:style w:type="character" w:customStyle="1" w:styleId="Char2">
    <w:name w:val="批注框文本 Char"/>
    <w:basedOn w:val="a0"/>
    <w:link w:val="a6"/>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Plain Text"/>
    <w:basedOn w:val="a"/>
    <w:link w:val="Char1"/>
    <w:uiPriority w:val="99"/>
    <w:unhideWhenUsed/>
    <w:qFormat/>
    <w:pPr>
      <w:jc w:val="left"/>
    </w:pPr>
    <w:rPr>
      <w:rFonts w:ascii="Calibri" w:eastAsia="宋体" w:hAnsi="Courier New" w:cs="Courier New"/>
      <w:szCs w:val="21"/>
    </w:rPr>
  </w:style>
  <w:style w:type="paragraph" w:styleId="2">
    <w:name w:val="Body Text Indent 2"/>
    <w:basedOn w:val="a"/>
    <w:link w:val="2Char"/>
    <w:uiPriority w:val="99"/>
    <w:semiHidden/>
    <w:unhideWhenUsed/>
    <w:qFormat/>
    <w:pPr>
      <w:spacing w:after="120" w:line="480" w:lineRule="auto"/>
      <w:ind w:leftChars="200" w:left="420"/>
    </w:pPr>
    <w:rPr>
      <w:rFonts w:ascii="Calibri" w:eastAsia="宋体" w:hAnsi="Calibri" w:cs="Times New Roman"/>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333333"/>
      <w:u w:val="none"/>
    </w:rPr>
  </w:style>
  <w:style w:type="character" w:styleId="ac">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纯文本 Char"/>
    <w:basedOn w:val="a0"/>
    <w:link w:val="a5"/>
    <w:uiPriority w:val="99"/>
    <w:qFormat/>
    <w:rPr>
      <w:rFonts w:ascii="Calibri" w:eastAsia="宋体" w:hAnsi="Courier New" w:cs="Courier New"/>
      <w:szCs w:val="21"/>
    </w:rPr>
  </w:style>
  <w:style w:type="character" w:customStyle="1" w:styleId="2Char">
    <w:name w:val="正文文本缩进 2 Char"/>
    <w:basedOn w:val="a0"/>
    <w:link w:val="2"/>
    <w:uiPriority w:val="99"/>
    <w:semiHidden/>
    <w:qFormat/>
    <w:rPr>
      <w:rFonts w:ascii="Calibri" w:eastAsia="宋体" w:hAnsi="Calibri" w:cs="Times New Roman"/>
    </w:rPr>
  </w:style>
  <w:style w:type="character" w:customStyle="1" w:styleId="Char2">
    <w:name w:val="批注框文本 Char"/>
    <w:basedOn w:val="a0"/>
    <w:link w:val="a6"/>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18.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caoyf</dc:creator>
  <cp:lastModifiedBy>SHC</cp:lastModifiedBy>
  <cp:revision>6</cp:revision>
  <cp:lastPrinted>2015-12-05T01:16:00Z</cp:lastPrinted>
  <dcterms:created xsi:type="dcterms:W3CDTF">2017-12-28T06:05:00Z</dcterms:created>
  <dcterms:modified xsi:type="dcterms:W3CDTF">2019-04-09T06:00:00Z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