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0C8" w:rsidRDefault="00F03AFD">
      <w:pPr>
        <w:jc w:val="center"/>
        <w:rPr>
          <w:rFonts w:ascii="仿宋_GB2312" w:eastAsia="仿宋_GB2312" w:hAnsi="宋体"/>
          <w:b/>
          <w:color w:val="000000"/>
          <w:sz w:val="24"/>
          <w:szCs w:val="24"/>
        </w:rPr>
      </w:pPr>
      <w:bookmarkStart w:id="0" w:name="_GoBack"/>
      <w:bookmarkEnd w:id="0"/>
      <w:r>
        <w:rPr>
          <w:rFonts w:ascii="仿宋_GB2312" w:eastAsia="仿宋_GB2312" w:hAnsi="宋体" w:hint="eastAsia"/>
          <w:b/>
          <w:color w:val="000000"/>
          <w:sz w:val="24"/>
          <w:szCs w:val="24"/>
        </w:rPr>
        <w:t>华泰柏瑞基金管理有限公司关于增加西藏东方财富证券股份有限公司为旗下部分基金代销机构同时开通基金转换及参加费率优惠等业务的公告</w:t>
      </w:r>
    </w:p>
    <w:p w:rsidR="002230C8" w:rsidRDefault="002230C8">
      <w:pPr>
        <w:jc w:val="center"/>
        <w:rPr>
          <w:rFonts w:ascii="宋体" w:hAnsi="宋体" w:cs="宋体"/>
          <w:kern w:val="0"/>
          <w:sz w:val="18"/>
          <w:szCs w:val="18"/>
        </w:rPr>
      </w:pPr>
    </w:p>
    <w:p w:rsidR="002230C8" w:rsidRDefault="00F03AFD">
      <w:pPr>
        <w:jc w:val="left"/>
        <w:outlineLvl w:val="0"/>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为满足广大投资者的理财需求，根据华泰柏瑞基金管理有限公司</w:t>
      </w:r>
      <w:r>
        <w:rPr>
          <w:rFonts w:ascii="宋体" w:hAnsi="宋体" w:cs="宋体"/>
          <w:kern w:val="0"/>
          <w:sz w:val="18"/>
          <w:szCs w:val="18"/>
        </w:rPr>
        <w:t>(</w:t>
      </w:r>
      <w:r>
        <w:rPr>
          <w:rFonts w:ascii="宋体" w:hAnsi="宋体" w:cs="宋体" w:hint="eastAsia"/>
          <w:kern w:val="0"/>
          <w:sz w:val="18"/>
          <w:szCs w:val="18"/>
        </w:rPr>
        <w:t>以下简称</w:t>
      </w:r>
      <w:r>
        <w:rPr>
          <w:rFonts w:ascii="宋体" w:hAnsi="宋体" w:cs="宋体"/>
          <w:kern w:val="0"/>
          <w:sz w:val="18"/>
          <w:szCs w:val="18"/>
        </w:rPr>
        <w:t>“</w:t>
      </w:r>
      <w:r>
        <w:rPr>
          <w:rFonts w:ascii="宋体" w:hAnsi="宋体" w:cs="宋体" w:hint="eastAsia"/>
          <w:kern w:val="0"/>
          <w:sz w:val="18"/>
          <w:szCs w:val="18"/>
        </w:rPr>
        <w:t>本公司</w:t>
      </w:r>
      <w:r>
        <w:rPr>
          <w:rFonts w:ascii="宋体" w:hAnsi="宋体" w:cs="宋体"/>
          <w:kern w:val="0"/>
          <w:sz w:val="18"/>
          <w:szCs w:val="18"/>
        </w:rPr>
        <w:t>”)</w:t>
      </w:r>
      <w:r>
        <w:rPr>
          <w:rFonts w:ascii="宋体" w:hAnsi="宋体" w:cs="宋体" w:hint="eastAsia"/>
          <w:kern w:val="0"/>
          <w:sz w:val="18"/>
          <w:szCs w:val="18"/>
        </w:rPr>
        <w:t>与</w:t>
      </w:r>
      <w:r>
        <w:rPr>
          <w:rFonts w:ascii="宋体" w:hAnsi="宋体" w:hint="eastAsia"/>
          <w:szCs w:val="21"/>
        </w:rPr>
        <w:t>西藏东方财富证券股份有限公司</w:t>
      </w:r>
      <w:r>
        <w:rPr>
          <w:rFonts w:ascii="宋体" w:hAnsi="宋体" w:cs="宋体"/>
          <w:kern w:val="0"/>
          <w:sz w:val="18"/>
          <w:szCs w:val="18"/>
        </w:rPr>
        <w:t>(</w:t>
      </w:r>
      <w:r>
        <w:rPr>
          <w:rFonts w:ascii="宋体" w:hAnsi="宋体" w:cs="宋体" w:hint="eastAsia"/>
          <w:kern w:val="0"/>
          <w:sz w:val="18"/>
          <w:szCs w:val="18"/>
        </w:rPr>
        <w:t>以下简称</w:t>
      </w:r>
      <w:r>
        <w:rPr>
          <w:rFonts w:ascii="宋体" w:hAnsi="宋体" w:cs="宋体"/>
          <w:kern w:val="0"/>
          <w:sz w:val="18"/>
          <w:szCs w:val="18"/>
        </w:rPr>
        <w:t>“</w:t>
      </w:r>
      <w:r>
        <w:rPr>
          <w:rFonts w:ascii="宋体" w:hAnsi="宋体" w:cs="宋体" w:hint="eastAsia"/>
          <w:kern w:val="0"/>
          <w:sz w:val="18"/>
          <w:szCs w:val="18"/>
        </w:rPr>
        <w:t>东方财富证券</w:t>
      </w:r>
      <w:r>
        <w:rPr>
          <w:rFonts w:ascii="宋体" w:hAnsi="宋体" w:cs="宋体"/>
          <w:kern w:val="0"/>
          <w:sz w:val="18"/>
          <w:szCs w:val="18"/>
        </w:rPr>
        <w:t>”)</w:t>
      </w:r>
      <w:r>
        <w:rPr>
          <w:rFonts w:ascii="宋体" w:hAnsi="宋体" w:cs="宋体" w:hint="eastAsia"/>
          <w:kern w:val="0"/>
          <w:sz w:val="18"/>
          <w:szCs w:val="18"/>
        </w:rPr>
        <w:t>签订的《开放式证券投资基金销售代理主协议》、《华泰柏瑞基金旗下证券投资基金销售代理补充协议》，东方财富证券自</w:t>
      </w:r>
      <w:r>
        <w:rPr>
          <w:rFonts w:ascii="宋体" w:hAnsi="宋体" w:cs="宋体" w:hint="eastAsia"/>
          <w:kern w:val="0"/>
          <w:sz w:val="18"/>
          <w:szCs w:val="18"/>
        </w:rPr>
        <w:t>2018</w:t>
      </w:r>
      <w:r>
        <w:rPr>
          <w:rFonts w:ascii="宋体" w:hAnsi="宋体" w:cs="宋体" w:hint="eastAsia"/>
          <w:kern w:val="0"/>
          <w:sz w:val="18"/>
          <w:szCs w:val="18"/>
        </w:rPr>
        <w:t>年</w:t>
      </w:r>
      <w:r>
        <w:rPr>
          <w:rFonts w:ascii="宋体" w:hAnsi="宋体" w:cs="宋体" w:hint="eastAsia"/>
          <w:kern w:val="0"/>
          <w:sz w:val="18"/>
          <w:szCs w:val="18"/>
        </w:rPr>
        <w:t>8</w:t>
      </w:r>
      <w:r>
        <w:rPr>
          <w:rFonts w:ascii="宋体" w:hAnsi="宋体" w:cs="宋体" w:hint="eastAsia"/>
          <w:kern w:val="0"/>
          <w:sz w:val="18"/>
          <w:szCs w:val="18"/>
        </w:rPr>
        <w:t>月</w:t>
      </w:r>
      <w:r>
        <w:rPr>
          <w:rFonts w:ascii="宋体" w:hAnsi="宋体" w:cs="宋体" w:hint="eastAsia"/>
          <w:kern w:val="0"/>
          <w:sz w:val="18"/>
          <w:szCs w:val="18"/>
        </w:rPr>
        <w:t>30</w:t>
      </w:r>
      <w:r>
        <w:rPr>
          <w:rFonts w:ascii="宋体" w:hAnsi="宋体" w:cs="宋体" w:hint="eastAsia"/>
          <w:kern w:val="0"/>
          <w:sz w:val="18"/>
          <w:szCs w:val="18"/>
        </w:rPr>
        <w:t>日起增加代销本公司旗下部分基金，同时开通基金转换、</w:t>
      </w:r>
      <w:proofErr w:type="gramStart"/>
      <w:r>
        <w:rPr>
          <w:rFonts w:ascii="宋体" w:hAnsi="宋体" w:cs="宋体" w:hint="eastAsia"/>
          <w:kern w:val="0"/>
          <w:sz w:val="18"/>
          <w:szCs w:val="18"/>
        </w:rPr>
        <w:t>定投及</w:t>
      </w:r>
      <w:proofErr w:type="gramEnd"/>
      <w:r>
        <w:rPr>
          <w:rFonts w:ascii="宋体" w:hAnsi="宋体" w:cs="宋体" w:hint="eastAsia"/>
          <w:kern w:val="0"/>
          <w:sz w:val="18"/>
          <w:szCs w:val="18"/>
        </w:rPr>
        <w:t>参加费率优惠等业务</w:t>
      </w:r>
      <w:r>
        <w:rPr>
          <w:rFonts w:ascii="宋体" w:hAnsi="宋体" w:cs="宋体" w:hint="eastAsia"/>
          <w:kern w:val="0"/>
          <w:sz w:val="18"/>
          <w:szCs w:val="18"/>
        </w:rPr>
        <w:t>,</w:t>
      </w:r>
      <w:r>
        <w:rPr>
          <w:rFonts w:ascii="宋体" w:hAnsi="宋体" w:cs="宋体" w:hint="eastAsia"/>
          <w:kern w:val="0"/>
          <w:sz w:val="18"/>
          <w:szCs w:val="18"/>
        </w:rPr>
        <w:t>具体事宜公告如下：</w:t>
      </w:r>
    </w:p>
    <w:p w:rsidR="002230C8" w:rsidRDefault="002230C8">
      <w:pPr>
        <w:ind w:firstLineChars="200" w:firstLine="360"/>
        <w:rPr>
          <w:rFonts w:ascii="宋体" w:hAnsi="宋体" w:cs="宋体"/>
          <w:kern w:val="0"/>
          <w:sz w:val="18"/>
          <w:szCs w:val="18"/>
        </w:rPr>
      </w:pPr>
    </w:p>
    <w:p w:rsidR="002230C8" w:rsidRDefault="00F03AFD">
      <w:pPr>
        <w:pStyle w:val="1"/>
        <w:numPr>
          <w:ilvl w:val="0"/>
          <w:numId w:val="1"/>
        </w:numPr>
        <w:ind w:firstLineChars="0"/>
        <w:rPr>
          <w:rFonts w:asciiTheme="majorEastAsia" w:eastAsiaTheme="majorEastAsia" w:hAnsiTheme="majorEastAsia"/>
          <w:sz w:val="18"/>
          <w:szCs w:val="18"/>
        </w:rPr>
      </w:pPr>
      <w:r>
        <w:rPr>
          <w:rFonts w:asciiTheme="majorEastAsia" w:eastAsiaTheme="majorEastAsia" w:hAnsiTheme="majorEastAsia" w:hint="eastAsia"/>
          <w:sz w:val="18"/>
          <w:szCs w:val="18"/>
        </w:rPr>
        <w:t>适用基金</w:t>
      </w:r>
    </w:p>
    <w:tbl>
      <w:tblPr>
        <w:tblW w:w="6768" w:type="dxa"/>
        <w:jc w:val="center"/>
        <w:tblInd w:w="94" w:type="dxa"/>
        <w:tblLayout w:type="fixed"/>
        <w:tblLook w:val="04A0" w:firstRow="1" w:lastRow="0" w:firstColumn="1" w:lastColumn="0" w:noHBand="0" w:noVBand="1"/>
      </w:tblPr>
      <w:tblGrid>
        <w:gridCol w:w="576"/>
        <w:gridCol w:w="5256"/>
        <w:gridCol w:w="936"/>
      </w:tblGrid>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基金全称</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基金代码</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华泰柏瑞积极优选股票型证券投资基金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001097</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华泰柏瑞盛世中国混合型证券投资基金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460001</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华泰柏瑞积极成长混合型证券投资基金</w:t>
            </w:r>
            <w:r>
              <w:rPr>
                <w:rFonts w:ascii="宋体" w:hAnsi="宋体" w:cs="宋体" w:hint="eastAsia"/>
                <w:color w:val="000000"/>
                <w:kern w:val="0"/>
                <w:sz w:val="18"/>
                <w:szCs w:val="18"/>
              </w:rPr>
              <w:t>A</w:t>
            </w:r>
            <w:r>
              <w:rPr>
                <w:rFonts w:ascii="宋体" w:hAnsi="宋体" w:cs="宋体" w:hint="eastAsia"/>
                <w:color w:val="000000"/>
                <w:kern w:val="0"/>
                <w:sz w:val="18"/>
                <w:szCs w:val="18"/>
              </w:rPr>
              <w:t>类</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460002</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华泰柏瑞价值增长混合型证券投资基金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460005</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华泰柏瑞行业领先混合型证券投资基金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460007</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华泰柏瑞创新升级混合型证券投资基金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000566</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华泰柏瑞创新动力灵活配置混合型证券投资基金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000967</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华泰柏瑞消费成长灵活配置混合型证券投资基金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001069</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华泰柏瑞健康生活灵活配置混合型证券投资基金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001398</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华泰柏瑞中国制造</w:t>
            </w:r>
            <w:r>
              <w:rPr>
                <w:rFonts w:ascii="宋体" w:hAnsi="宋体" w:cs="宋体"/>
                <w:color w:val="000000"/>
                <w:kern w:val="0"/>
                <w:sz w:val="18"/>
                <w:szCs w:val="18"/>
              </w:rPr>
              <w:t>2025</w:t>
            </w:r>
            <w:r>
              <w:rPr>
                <w:rFonts w:ascii="宋体" w:hAnsi="宋体" w:cs="宋体" w:hint="eastAsia"/>
                <w:color w:val="000000"/>
                <w:kern w:val="0"/>
                <w:sz w:val="18"/>
                <w:szCs w:val="18"/>
              </w:rPr>
              <w:t>灵活配置混合型证券投资基金</w:t>
            </w:r>
            <w:r>
              <w:rPr>
                <w:rFonts w:ascii="宋体" w:hAnsi="宋体" w:cs="宋体"/>
                <w:color w:val="000000"/>
                <w:kern w:val="0"/>
                <w:sz w:val="18"/>
                <w:szCs w:val="18"/>
              </w:rPr>
              <w:t>A</w:t>
            </w:r>
            <w:r>
              <w:rPr>
                <w:rFonts w:ascii="宋体" w:hAnsi="宋体" w:cs="宋体" w:hint="eastAsia"/>
                <w:color w:val="000000"/>
                <w:kern w:val="0"/>
                <w:sz w:val="18"/>
                <w:szCs w:val="18"/>
              </w:rPr>
              <w:t>类</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001456</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华泰柏瑞激励动力灵活配置混合型证券投资基金</w:t>
            </w:r>
            <w:r>
              <w:rPr>
                <w:rFonts w:ascii="宋体" w:hAnsi="宋体" w:cs="宋体" w:hint="eastAsia"/>
                <w:color w:val="000000"/>
                <w:kern w:val="0"/>
                <w:sz w:val="18"/>
                <w:szCs w:val="18"/>
              </w:rPr>
              <w:t>A</w:t>
            </w:r>
            <w:r>
              <w:rPr>
                <w:rFonts w:ascii="宋体" w:hAnsi="宋体" w:cs="宋体" w:hint="eastAsia"/>
                <w:color w:val="000000"/>
                <w:kern w:val="0"/>
                <w:sz w:val="18"/>
                <w:szCs w:val="18"/>
              </w:rPr>
              <w:t>类</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001815</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华泰柏瑞新经济沪港深灵活配置混合型证券投资基金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003413</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华泰柏瑞多策略灵活配置混合型证券投资基金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003175</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华泰柏瑞价值精选</w:t>
            </w:r>
            <w:r>
              <w:rPr>
                <w:rFonts w:ascii="宋体" w:hAnsi="宋体" w:cs="宋体" w:hint="eastAsia"/>
                <w:color w:val="000000"/>
                <w:kern w:val="0"/>
                <w:sz w:val="18"/>
                <w:szCs w:val="18"/>
              </w:rPr>
              <w:t>30</w:t>
            </w:r>
            <w:r>
              <w:rPr>
                <w:rFonts w:ascii="宋体" w:hAnsi="宋体" w:cs="宋体" w:hint="eastAsia"/>
                <w:color w:val="000000"/>
                <w:kern w:val="0"/>
                <w:sz w:val="18"/>
                <w:szCs w:val="18"/>
              </w:rPr>
              <w:t>灵活配置混合型证券投资基金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003954</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华泰柏瑞生物医药灵活配置混合型证券投资基金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004905</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华泰柏瑞富利灵活配置混合型证券投资基金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004475</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华泰柏瑞战略新兴产业混合型证券投资基金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005409</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华泰柏瑞新金融地产灵活配置混合型证券投资基金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005576</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华泰柏瑞国企整合精选混合型证券投资基金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005806</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华泰柏瑞医疗健康混合型证券投资基金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005805</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华泰柏瑞上证中小盘交易型开放式指数证券投资基金联接基金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460220</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华泰柏瑞沪深</w:t>
            </w:r>
            <w:r>
              <w:rPr>
                <w:rFonts w:ascii="宋体" w:hAnsi="宋体" w:cs="宋体" w:hint="eastAsia"/>
                <w:color w:val="000000"/>
                <w:kern w:val="0"/>
                <w:sz w:val="18"/>
                <w:szCs w:val="18"/>
              </w:rPr>
              <w:t>300</w:t>
            </w:r>
            <w:r>
              <w:rPr>
                <w:rFonts w:ascii="宋体" w:hAnsi="宋体" w:cs="宋体" w:hint="eastAsia"/>
                <w:color w:val="000000"/>
                <w:kern w:val="0"/>
                <w:sz w:val="18"/>
                <w:szCs w:val="18"/>
              </w:rPr>
              <w:t>交易型开放式指数证券投资基金联接基金</w:t>
            </w:r>
            <w:r>
              <w:rPr>
                <w:rFonts w:ascii="宋体" w:hAnsi="宋体" w:cs="宋体" w:hint="eastAsia"/>
                <w:color w:val="000000"/>
                <w:kern w:val="0"/>
                <w:sz w:val="18"/>
                <w:szCs w:val="18"/>
              </w:rPr>
              <w:t>A</w:t>
            </w:r>
            <w:r>
              <w:rPr>
                <w:rFonts w:ascii="宋体" w:hAnsi="宋体" w:cs="宋体" w:hint="eastAsia"/>
                <w:color w:val="000000"/>
                <w:kern w:val="0"/>
                <w:sz w:val="18"/>
                <w:szCs w:val="18"/>
              </w:rPr>
              <w:t>类</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460300</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23</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华泰柏瑞沪深</w:t>
            </w:r>
            <w:r>
              <w:rPr>
                <w:rFonts w:ascii="宋体" w:hAnsi="宋体" w:cs="宋体" w:hint="eastAsia"/>
                <w:color w:val="000000"/>
                <w:kern w:val="0"/>
                <w:sz w:val="18"/>
                <w:szCs w:val="18"/>
              </w:rPr>
              <w:t>300</w:t>
            </w:r>
            <w:r>
              <w:rPr>
                <w:rFonts w:ascii="宋体" w:hAnsi="宋体" w:cs="宋体" w:hint="eastAsia"/>
                <w:color w:val="000000"/>
                <w:kern w:val="0"/>
                <w:sz w:val="18"/>
                <w:szCs w:val="18"/>
              </w:rPr>
              <w:t>交易型开放式指数证券投资基金联接基金</w:t>
            </w:r>
            <w:r>
              <w:rPr>
                <w:rFonts w:ascii="宋体" w:hAnsi="宋体" w:cs="宋体" w:hint="eastAsia"/>
                <w:color w:val="000000"/>
                <w:kern w:val="0"/>
                <w:sz w:val="18"/>
                <w:szCs w:val="18"/>
              </w:rPr>
              <w:t>C</w:t>
            </w:r>
            <w:r>
              <w:rPr>
                <w:rFonts w:ascii="宋体" w:hAnsi="宋体" w:cs="宋体" w:hint="eastAsia"/>
                <w:color w:val="000000"/>
                <w:kern w:val="0"/>
                <w:sz w:val="18"/>
                <w:szCs w:val="18"/>
              </w:rPr>
              <w:t>类</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006131</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华泰柏瑞中证</w:t>
            </w:r>
            <w:r>
              <w:rPr>
                <w:rFonts w:ascii="宋体" w:hAnsi="宋体" w:cs="宋体" w:hint="eastAsia"/>
                <w:color w:val="000000"/>
                <w:kern w:val="0"/>
                <w:sz w:val="18"/>
                <w:szCs w:val="18"/>
              </w:rPr>
              <w:t>500</w:t>
            </w:r>
            <w:r>
              <w:rPr>
                <w:rFonts w:ascii="宋体" w:hAnsi="宋体" w:cs="宋体" w:hint="eastAsia"/>
                <w:color w:val="000000"/>
                <w:kern w:val="0"/>
                <w:sz w:val="18"/>
                <w:szCs w:val="18"/>
              </w:rPr>
              <w:t>交易型开放式指数证券投资基金联接基金</w:t>
            </w:r>
            <w:r>
              <w:rPr>
                <w:rFonts w:ascii="宋体" w:hAnsi="宋体" w:cs="宋体" w:hint="eastAsia"/>
                <w:color w:val="000000"/>
                <w:kern w:val="0"/>
                <w:sz w:val="18"/>
                <w:szCs w:val="18"/>
              </w:rPr>
              <w:t>A</w:t>
            </w:r>
            <w:r>
              <w:rPr>
                <w:rFonts w:ascii="宋体" w:hAnsi="宋体" w:cs="宋体" w:hint="eastAsia"/>
                <w:color w:val="000000"/>
                <w:kern w:val="0"/>
                <w:sz w:val="18"/>
                <w:szCs w:val="18"/>
              </w:rPr>
              <w:t>类</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001214</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华泰柏瑞中证</w:t>
            </w:r>
            <w:r>
              <w:rPr>
                <w:rFonts w:ascii="宋体" w:hAnsi="宋体" w:cs="宋体" w:hint="eastAsia"/>
                <w:color w:val="000000"/>
                <w:kern w:val="0"/>
                <w:sz w:val="18"/>
                <w:szCs w:val="18"/>
              </w:rPr>
              <w:t>500</w:t>
            </w:r>
            <w:r>
              <w:rPr>
                <w:rFonts w:ascii="宋体" w:hAnsi="宋体" w:cs="宋体" w:hint="eastAsia"/>
                <w:color w:val="000000"/>
                <w:kern w:val="0"/>
                <w:sz w:val="18"/>
                <w:szCs w:val="18"/>
              </w:rPr>
              <w:t>交易型开放式指数证券投资基金联接基金</w:t>
            </w:r>
            <w:r>
              <w:rPr>
                <w:rFonts w:ascii="宋体" w:hAnsi="宋体" w:cs="宋体" w:hint="eastAsia"/>
                <w:color w:val="000000"/>
                <w:kern w:val="0"/>
                <w:sz w:val="18"/>
                <w:szCs w:val="18"/>
              </w:rPr>
              <w:t>C</w:t>
            </w:r>
            <w:r>
              <w:rPr>
                <w:rFonts w:ascii="宋体" w:hAnsi="宋体" w:cs="宋体" w:hint="eastAsia"/>
                <w:color w:val="000000"/>
                <w:kern w:val="0"/>
                <w:sz w:val="18"/>
                <w:szCs w:val="18"/>
              </w:rPr>
              <w:t>类</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006087</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26</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华泰柏瑞亚洲领导企业混合型证券投资基金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460010</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27</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w:t>
            </w:r>
            <w:proofErr w:type="gramStart"/>
            <w:r>
              <w:rPr>
                <w:rFonts w:ascii="宋体" w:hAnsi="宋体" w:cs="宋体" w:hint="eastAsia"/>
                <w:color w:val="000000"/>
                <w:kern w:val="0"/>
                <w:sz w:val="18"/>
                <w:szCs w:val="18"/>
              </w:rPr>
              <w:t>瑞量</w:t>
            </w:r>
            <w:proofErr w:type="gramEnd"/>
            <w:r>
              <w:rPr>
                <w:rFonts w:ascii="宋体" w:hAnsi="宋体" w:cs="宋体" w:hint="eastAsia"/>
                <w:color w:val="000000"/>
                <w:kern w:val="0"/>
                <w:sz w:val="18"/>
                <w:szCs w:val="18"/>
              </w:rPr>
              <w:t>化先行混合型证券投资基金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460009</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28</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w:t>
            </w:r>
            <w:proofErr w:type="gramStart"/>
            <w:r>
              <w:rPr>
                <w:rFonts w:ascii="宋体" w:hAnsi="宋体" w:cs="宋体" w:hint="eastAsia"/>
                <w:color w:val="000000"/>
                <w:kern w:val="0"/>
                <w:sz w:val="18"/>
                <w:szCs w:val="18"/>
              </w:rPr>
              <w:t>瑞量</w:t>
            </w:r>
            <w:proofErr w:type="gramEnd"/>
            <w:r>
              <w:rPr>
                <w:rFonts w:ascii="宋体" w:hAnsi="宋体" w:cs="宋体" w:hint="eastAsia"/>
                <w:color w:val="000000"/>
                <w:kern w:val="0"/>
                <w:sz w:val="18"/>
                <w:szCs w:val="18"/>
              </w:rPr>
              <w:t>化增强混合型证券投资基金</w:t>
            </w:r>
            <w:r>
              <w:rPr>
                <w:rFonts w:ascii="宋体" w:hAnsi="宋体" w:cs="宋体" w:hint="eastAsia"/>
                <w:color w:val="000000"/>
                <w:kern w:val="0"/>
                <w:sz w:val="18"/>
                <w:szCs w:val="18"/>
              </w:rPr>
              <w:t>A</w:t>
            </w:r>
            <w:r>
              <w:rPr>
                <w:rFonts w:ascii="宋体" w:hAnsi="宋体" w:cs="宋体" w:hint="eastAsia"/>
                <w:color w:val="000000"/>
                <w:kern w:val="0"/>
                <w:sz w:val="18"/>
                <w:szCs w:val="18"/>
              </w:rPr>
              <w:t>类</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000172</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29</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w:t>
            </w:r>
            <w:proofErr w:type="gramStart"/>
            <w:r>
              <w:rPr>
                <w:rFonts w:ascii="宋体" w:hAnsi="宋体" w:cs="宋体" w:hint="eastAsia"/>
                <w:color w:val="000000"/>
                <w:kern w:val="0"/>
                <w:sz w:val="18"/>
                <w:szCs w:val="18"/>
              </w:rPr>
              <w:t>瑞量</w:t>
            </w:r>
            <w:proofErr w:type="gramEnd"/>
            <w:r>
              <w:rPr>
                <w:rFonts w:ascii="宋体" w:hAnsi="宋体" w:cs="宋体" w:hint="eastAsia"/>
                <w:color w:val="000000"/>
                <w:kern w:val="0"/>
                <w:sz w:val="18"/>
                <w:szCs w:val="18"/>
              </w:rPr>
              <w:t>化优选灵活配置混合型证券投资基金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000877</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w:t>
            </w:r>
            <w:proofErr w:type="gramStart"/>
            <w:r>
              <w:rPr>
                <w:rFonts w:ascii="宋体" w:hAnsi="宋体" w:cs="宋体" w:hint="eastAsia"/>
                <w:color w:val="000000"/>
                <w:kern w:val="0"/>
                <w:sz w:val="18"/>
                <w:szCs w:val="18"/>
              </w:rPr>
              <w:t>瑞量</w:t>
            </w:r>
            <w:proofErr w:type="gramEnd"/>
            <w:r>
              <w:rPr>
                <w:rFonts w:ascii="宋体" w:hAnsi="宋体" w:cs="宋体" w:hint="eastAsia"/>
                <w:color w:val="000000"/>
                <w:kern w:val="0"/>
                <w:sz w:val="18"/>
                <w:szCs w:val="18"/>
              </w:rPr>
              <w:t>化绝对收益策略定期开放混合型发起式证券投资基金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001073</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31</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w:t>
            </w:r>
            <w:proofErr w:type="gramStart"/>
            <w:r>
              <w:rPr>
                <w:rFonts w:ascii="宋体" w:hAnsi="宋体" w:cs="宋体" w:hint="eastAsia"/>
                <w:color w:val="000000"/>
                <w:kern w:val="0"/>
                <w:sz w:val="18"/>
                <w:szCs w:val="18"/>
              </w:rPr>
              <w:t>瑞量</w:t>
            </w:r>
            <w:proofErr w:type="gramEnd"/>
            <w:r>
              <w:rPr>
                <w:rFonts w:ascii="宋体" w:hAnsi="宋体" w:cs="宋体" w:hint="eastAsia"/>
                <w:color w:val="000000"/>
                <w:kern w:val="0"/>
                <w:sz w:val="18"/>
                <w:szCs w:val="18"/>
              </w:rPr>
              <w:t>化驱动灵活配置混合型证券投资基金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001074</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w:t>
            </w:r>
            <w:proofErr w:type="gramStart"/>
            <w:r>
              <w:rPr>
                <w:rFonts w:ascii="宋体" w:hAnsi="宋体" w:cs="宋体" w:hint="eastAsia"/>
                <w:color w:val="000000"/>
                <w:kern w:val="0"/>
                <w:sz w:val="18"/>
                <w:szCs w:val="18"/>
              </w:rPr>
              <w:t>瑞量</w:t>
            </w:r>
            <w:proofErr w:type="gramEnd"/>
            <w:r>
              <w:rPr>
                <w:rFonts w:ascii="宋体" w:hAnsi="宋体" w:cs="宋体" w:hint="eastAsia"/>
                <w:color w:val="000000"/>
                <w:kern w:val="0"/>
                <w:sz w:val="18"/>
                <w:szCs w:val="18"/>
              </w:rPr>
              <w:t>化智慧灵活配置混合型证券投资基金</w:t>
            </w:r>
            <w:r>
              <w:rPr>
                <w:rFonts w:ascii="宋体" w:hAnsi="宋体" w:cs="宋体" w:hint="eastAsia"/>
                <w:color w:val="000000"/>
                <w:kern w:val="0"/>
                <w:sz w:val="18"/>
                <w:szCs w:val="18"/>
              </w:rPr>
              <w:t>A</w:t>
            </w:r>
            <w:r>
              <w:rPr>
                <w:rFonts w:ascii="宋体" w:hAnsi="宋体" w:cs="宋体" w:hint="eastAsia"/>
                <w:color w:val="000000"/>
                <w:kern w:val="0"/>
                <w:sz w:val="18"/>
                <w:szCs w:val="18"/>
              </w:rPr>
              <w:t>类</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001244</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33</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w:t>
            </w:r>
            <w:proofErr w:type="gramStart"/>
            <w:r>
              <w:rPr>
                <w:rFonts w:ascii="宋体" w:hAnsi="宋体" w:cs="宋体" w:hint="eastAsia"/>
                <w:color w:val="000000"/>
                <w:kern w:val="0"/>
                <w:sz w:val="18"/>
                <w:szCs w:val="18"/>
              </w:rPr>
              <w:t>瑞量</w:t>
            </w:r>
            <w:proofErr w:type="gramEnd"/>
            <w:r>
              <w:rPr>
                <w:rFonts w:ascii="宋体" w:hAnsi="宋体" w:cs="宋体" w:hint="eastAsia"/>
                <w:color w:val="000000"/>
                <w:kern w:val="0"/>
                <w:sz w:val="18"/>
                <w:szCs w:val="18"/>
              </w:rPr>
              <w:t>化智慧灵活配置混合型证券投资基金</w:t>
            </w:r>
            <w:r>
              <w:rPr>
                <w:rFonts w:ascii="宋体" w:hAnsi="宋体" w:cs="宋体" w:hint="eastAsia"/>
                <w:color w:val="000000"/>
                <w:kern w:val="0"/>
                <w:sz w:val="18"/>
                <w:szCs w:val="18"/>
              </w:rPr>
              <w:t>C</w:t>
            </w:r>
            <w:r>
              <w:rPr>
                <w:rFonts w:ascii="宋体" w:hAnsi="宋体" w:cs="宋体" w:hint="eastAsia"/>
                <w:color w:val="000000"/>
                <w:kern w:val="0"/>
                <w:sz w:val="18"/>
                <w:szCs w:val="18"/>
              </w:rPr>
              <w:t>类</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006104</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34</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w:t>
            </w:r>
            <w:proofErr w:type="gramStart"/>
            <w:r>
              <w:rPr>
                <w:rFonts w:ascii="宋体" w:hAnsi="宋体" w:cs="宋体" w:hint="eastAsia"/>
                <w:color w:val="000000"/>
                <w:kern w:val="0"/>
                <w:sz w:val="18"/>
                <w:szCs w:val="18"/>
              </w:rPr>
              <w:t>瑞量</w:t>
            </w:r>
            <w:proofErr w:type="gramEnd"/>
            <w:r>
              <w:rPr>
                <w:rFonts w:ascii="宋体" w:hAnsi="宋体" w:cs="宋体" w:hint="eastAsia"/>
                <w:color w:val="000000"/>
                <w:kern w:val="0"/>
                <w:sz w:val="18"/>
                <w:szCs w:val="18"/>
              </w:rPr>
              <w:t>化对冲稳健收益定期开放混合型发起式证券投资基金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002804</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w:t>
            </w:r>
            <w:proofErr w:type="gramStart"/>
            <w:r>
              <w:rPr>
                <w:rFonts w:ascii="宋体" w:hAnsi="宋体" w:cs="宋体" w:hint="eastAsia"/>
                <w:color w:val="000000"/>
                <w:kern w:val="0"/>
                <w:sz w:val="18"/>
                <w:szCs w:val="18"/>
              </w:rPr>
              <w:t>瑞量</w:t>
            </w:r>
            <w:proofErr w:type="gramEnd"/>
            <w:r>
              <w:rPr>
                <w:rFonts w:ascii="宋体" w:hAnsi="宋体" w:cs="宋体" w:hint="eastAsia"/>
                <w:color w:val="000000"/>
                <w:kern w:val="0"/>
                <w:sz w:val="18"/>
                <w:szCs w:val="18"/>
              </w:rPr>
              <w:t>化创优灵活配置混合型证券投资基金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004394</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36</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w:t>
            </w:r>
            <w:proofErr w:type="gramStart"/>
            <w:r>
              <w:rPr>
                <w:rFonts w:ascii="宋体" w:hAnsi="宋体" w:cs="宋体" w:hint="eastAsia"/>
                <w:color w:val="000000"/>
                <w:kern w:val="0"/>
                <w:sz w:val="18"/>
                <w:szCs w:val="18"/>
              </w:rPr>
              <w:t>瑞量化阿尔</w:t>
            </w:r>
            <w:proofErr w:type="gramEnd"/>
            <w:r>
              <w:rPr>
                <w:rFonts w:ascii="宋体" w:hAnsi="宋体" w:cs="宋体" w:hint="eastAsia"/>
                <w:color w:val="000000"/>
                <w:kern w:val="0"/>
                <w:sz w:val="18"/>
                <w:szCs w:val="18"/>
              </w:rPr>
              <w:t>法灵活配置混合型证券投资基金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005055</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37</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华泰柏瑞港股通量化灵活配置混合型证券投资基金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005269</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38</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华泰柏瑞稳健收益债券型证券投资基金</w:t>
            </w:r>
            <w:r>
              <w:rPr>
                <w:rFonts w:ascii="宋体" w:hAnsi="宋体" w:cs="宋体" w:hint="eastAsia"/>
                <w:color w:val="000000"/>
                <w:kern w:val="0"/>
                <w:sz w:val="18"/>
                <w:szCs w:val="18"/>
              </w:rPr>
              <w:t>A</w:t>
            </w:r>
            <w:r>
              <w:rPr>
                <w:rFonts w:ascii="宋体" w:hAnsi="宋体" w:cs="宋体" w:hint="eastAsia"/>
                <w:color w:val="000000"/>
                <w:kern w:val="0"/>
                <w:sz w:val="18"/>
                <w:szCs w:val="18"/>
              </w:rPr>
              <w:t>类</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460008</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39</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华泰柏瑞稳健收益债券型证券投资基金</w:t>
            </w:r>
            <w:r>
              <w:rPr>
                <w:rFonts w:ascii="宋体" w:hAnsi="宋体" w:cs="宋体" w:hint="eastAsia"/>
                <w:color w:val="000000"/>
                <w:kern w:val="0"/>
                <w:sz w:val="18"/>
                <w:szCs w:val="18"/>
              </w:rPr>
              <w:t>C</w:t>
            </w:r>
            <w:r>
              <w:rPr>
                <w:rFonts w:ascii="宋体" w:hAnsi="宋体" w:cs="宋体" w:hint="eastAsia"/>
                <w:color w:val="000000"/>
                <w:kern w:val="0"/>
                <w:sz w:val="18"/>
                <w:szCs w:val="18"/>
              </w:rPr>
              <w:t>类</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460108</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w:t>
            </w:r>
            <w:proofErr w:type="gramStart"/>
            <w:r>
              <w:rPr>
                <w:rFonts w:ascii="宋体" w:hAnsi="宋体" w:cs="宋体" w:hint="eastAsia"/>
                <w:color w:val="000000"/>
                <w:kern w:val="0"/>
                <w:sz w:val="18"/>
                <w:szCs w:val="18"/>
              </w:rPr>
              <w:t>丰盛纯债债券</w:t>
            </w:r>
            <w:proofErr w:type="gramEnd"/>
            <w:r>
              <w:rPr>
                <w:rFonts w:ascii="宋体" w:hAnsi="宋体" w:cs="宋体" w:hint="eastAsia"/>
                <w:color w:val="000000"/>
                <w:kern w:val="0"/>
                <w:sz w:val="18"/>
                <w:szCs w:val="18"/>
              </w:rPr>
              <w:t>型证券投资基金</w:t>
            </w:r>
            <w:r>
              <w:rPr>
                <w:rFonts w:ascii="宋体" w:hAnsi="宋体" w:cs="宋体" w:hint="eastAsia"/>
                <w:color w:val="000000"/>
                <w:kern w:val="0"/>
                <w:sz w:val="18"/>
                <w:szCs w:val="18"/>
              </w:rPr>
              <w:t>A</w:t>
            </w:r>
            <w:r>
              <w:rPr>
                <w:rFonts w:ascii="宋体" w:hAnsi="宋体" w:cs="宋体" w:hint="eastAsia"/>
                <w:color w:val="000000"/>
                <w:kern w:val="0"/>
                <w:sz w:val="18"/>
                <w:szCs w:val="18"/>
              </w:rPr>
              <w:t>类</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000187</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41</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w:t>
            </w:r>
            <w:proofErr w:type="gramStart"/>
            <w:r>
              <w:rPr>
                <w:rFonts w:ascii="宋体" w:hAnsi="宋体" w:cs="宋体" w:hint="eastAsia"/>
                <w:color w:val="000000"/>
                <w:kern w:val="0"/>
                <w:sz w:val="18"/>
                <w:szCs w:val="18"/>
              </w:rPr>
              <w:t>丰盛纯债债券</w:t>
            </w:r>
            <w:proofErr w:type="gramEnd"/>
            <w:r>
              <w:rPr>
                <w:rFonts w:ascii="宋体" w:hAnsi="宋体" w:cs="宋体" w:hint="eastAsia"/>
                <w:color w:val="000000"/>
                <w:kern w:val="0"/>
                <w:sz w:val="18"/>
                <w:szCs w:val="18"/>
              </w:rPr>
              <w:t>型证券投资基金</w:t>
            </w:r>
            <w:r>
              <w:rPr>
                <w:rFonts w:ascii="宋体" w:hAnsi="宋体" w:cs="宋体" w:hint="eastAsia"/>
                <w:color w:val="000000"/>
                <w:kern w:val="0"/>
                <w:sz w:val="18"/>
                <w:szCs w:val="18"/>
              </w:rPr>
              <w:t>C</w:t>
            </w:r>
            <w:r>
              <w:rPr>
                <w:rFonts w:ascii="宋体" w:hAnsi="宋体" w:cs="宋体" w:hint="eastAsia"/>
                <w:color w:val="000000"/>
                <w:kern w:val="0"/>
                <w:sz w:val="18"/>
                <w:szCs w:val="18"/>
              </w:rPr>
              <w:t>类</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000188</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42</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华泰柏瑞丰汇债券</w:t>
            </w:r>
            <w:proofErr w:type="gramEnd"/>
            <w:r>
              <w:rPr>
                <w:rFonts w:ascii="宋体" w:hAnsi="宋体" w:cs="宋体" w:hint="eastAsia"/>
                <w:color w:val="000000"/>
                <w:kern w:val="0"/>
                <w:sz w:val="18"/>
                <w:szCs w:val="18"/>
              </w:rPr>
              <w:t>型证券投资基金</w:t>
            </w:r>
            <w:r>
              <w:rPr>
                <w:rFonts w:ascii="宋体" w:hAnsi="宋体" w:cs="宋体" w:hint="eastAsia"/>
                <w:color w:val="000000"/>
                <w:kern w:val="0"/>
                <w:sz w:val="18"/>
                <w:szCs w:val="18"/>
              </w:rPr>
              <w:t>A</w:t>
            </w:r>
            <w:r>
              <w:rPr>
                <w:rFonts w:ascii="宋体" w:hAnsi="宋体" w:cs="宋体" w:hint="eastAsia"/>
                <w:color w:val="000000"/>
                <w:kern w:val="0"/>
                <w:sz w:val="18"/>
                <w:szCs w:val="18"/>
              </w:rPr>
              <w:t>类</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000421</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43</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华泰柏瑞丰汇债券</w:t>
            </w:r>
            <w:proofErr w:type="gramEnd"/>
            <w:r>
              <w:rPr>
                <w:rFonts w:ascii="宋体" w:hAnsi="宋体" w:cs="宋体" w:hint="eastAsia"/>
                <w:color w:val="000000"/>
                <w:kern w:val="0"/>
                <w:sz w:val="18"/>
                <w:szCs w:val="18"/>
              </w:rPr>
              <w:t>型证券投资基金</w:t>
            </w:r>
            <w:r>
              <w:rPr>
                <w:rFonts w:ascii="宋体" w:hAnsi="宋体" w:cs="宋体" w:hint="eastAsia"/>
                <w:color w:val="000000"/>
                <w:kern w:val="0"/>
                <w:sz w:val="18"/>
                <w:szCs w:val="18"/>
              </w:rPr>
              <w:t>C</w:t>
            </w:r>
            <w:r>
              <w:rPr>
                <w:rFonts w:ascii="宋体" w:hAnsi="宋体" w:cs="宋体" w:hint="eastAsia"/>
                <w:color w:val="000000"/>
                <w:kern w:val="0"/>
                <w:sz w:val="18"/>
                <w:szCs w:val="18"/>
              </w:rPr>
              <w:t>类</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000422</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44</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华泰柏瑞季季红债券型证券投资基金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000186</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45</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w:t>
            </w:r>
            <w:proofErr w:type="gramStart"/>
            <w:r>
              <w:rPr>
                <w:rFonts w:ascii="宋体" w:hAnsi="宋体" w:cs="宋体" w:hint="eastAsia"/>
                <w:color w:val="000000"/>
                <w:kern w:val="0"/>
                <w:sz w:val="18"/>
                <w:szCs w:val="18"/>
              </w:rPr>
              <w:t>金字塔稳本增利</w:t>
            </w:r>
            <w:proofErr w:type="gramEnd"/>
            <w:r>
              <w:rPr>
                <w:rFonts w:ascii="宋体" w:hAnsi="宋体" w:cs="宋体" w:hint="eastAsia"/>
                <w:color w:val="000000"/>
                <w:kern w:val="0"/>
                <w:sz w:val="18"/>
                <w:szCs w:val="18"/>
              </w:rPr>
              <w:t>债券型证券投资基金</w:t>
            </w:r>
            <w:r>
              <w:rPr>
                <w:rFonts w:ascii="宋体" w:hAnsi="宋体" w:cs="宋体" w:hint="eastAsia"/>
                <w:color w:val="000000"/>
                <w:kern w:val="0"/>
                <w:sz w:val="18"/>
                <w:szCs w:val="18"/>
              </w:rPr>
              <w:t>B</w:t>
            </w:r>
            <w:r>
              <w:rPr>
                <w:rFonts w:ascii="宋体" w:hAnsi="宋体" w:cs="宋体" w:hint="eastAsia"/>
                <w:color w:val="000000"/>
                <w:kern w:val="0"/>
                <w:sz w:val="18"/>
                <w:szCs w:val="18"/>
              </w:rPr>
              <w:t>类</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460003</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46</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华泰柏瑞货币市场证券投资基金</w:t>
            </w:r>
            <w:r>
              <w:rPr>
                <w:rFonts w:ascii="宋体" w:hAnsi="宋体" w:cs="宋体" w:hint="eastAsia"/>
                <w:color w:val="000000"/>
                <w:kern w:val="0"/>
                <w:sz w:val="18"/>
                <w:szCs w:val="18"/>
              </w:rPr>
              <w:t>A</w:t>
            </w:r>
            <w:r>
              <w:rPr>
                <w:rFonts w:ascii="宋体" w:hAnsi="宋体" w:cs="宋体" w:hint="eastAsia"/>
                <w:color w:val="000000"/>
                <w:kern w:val="0"/>
                <w:sz w:val="18"/>
                <w:szCs w:val="18"/>
              </w:rPr>
              <w:t>类</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460006</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47</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华泰柏瑞货币市场证券投资基金</w:t>
            </w:r>
            <w:r>
              <w:rPr>
                <w:rFonts w:ascii="宋体" w:hAnsi="宋体" w:cs="宋体" w:hint="eastAsia"/>
                <w:color w:val="000000"/>
                <w:kern w:val="0"/>
                <w:sz w:val="18"/>
                <w:szCs w:val="18"/>
              </w:rPr>
              <w:t>B</w:t>
            </w:r>
            <w:r>
              <w:rPr>
                <w:rFonts w:ascii="宋体" w:hAnsi="宋体" w:cs="宋体" w:hint="eastAsia"/>
                <w:color w:val="000000"/>
                <w:kern w:val="0"/>
                <w:sz w:val="18"/>
                <w:szCs w:val="18"/>
              </w:rPr>
              <w:t>类</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460106</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48</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华泰柏瑞天添宝货币市场基金</w:t>
            </w:r>
            <w:r>
              <w:rPr>
                <w:rFonts w:ascii="宋体" w:hAnsi="宋体" w:cs="宋体" w:hint="eastAsia"/>
                <w:color w:val="000000"/>
                <w:kern w:val="0"/>
                <w:sz w:val="18"/>
                <w:szCs w:val="18"/>
              </w:rPr>
              <w:t>A</w:t>
            </w:r>
            <w:r>
              <w:rPr>
                <w:rFonts w:ascii="宋体" w:hAnsi="宋体" w:cs="宋体" w:hint="eastAsia"/>
                <w:color w:val="000000"/>
                <w:kern w:val="0"/>
                <w:sz w:val="18"/>
                <w:szCs w:val="18"/>
              </w:rPr>
              <w:t>类</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003246</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49</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华泰柏瑞天添宝货币市场基金</w:t>
            </w:r>
            <w:r>
              <w:rPr>
                <w:rFonts w:ascii="宋体" w:hAnsi="宋体" w:cs="宋体" w:hint="eastAsia"/>
                <w:color w:val="000000"/>
                <w:kern w:val="0"/>
                <w:sz w:val="18"/>
                <w:szCs w:val="18"/>
              </w:rPr>
              <w:t>B</w:t>
            </w:r>
            <w:r>
              <w:rPr>
                <w:rFonts w:ascii="宋体" w:hAnsi="宋体" w:cs="宋体" w:hint="eastAsia"/>
                <w:color w:val="000000"/>
                <w:kern w:val="0"/>
                <w:sz w:val="18"/>
                <w:szCs w:val="18"/>
              </w:rPr>
              <w:t>类</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003871</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w:t>
            </w:r>
            <w:proofErr w:type="gramStart"/>
            <w:r>
              <w:rPr>
                <w:rFonts w:ascii="宋体" w:hAnsi="宋体" w:cs="宋体" w:hint="eastAsia"/>
                <w:color w:val="000000"/>
                <w:kern w:val="0"/>
                <w:sz w:val="18"/>
                <w:szCs w:val="18"/>
              </w:rPr>
              <w:t>金字塔稳本增利</w:t>
            </w:r>
            <w:proofErr w:type="gramEnd"/>
            <w:r>
              <w:rPr>
                <w:rFonts w:ascii="宋体" w:hAnsi="宋体" w:cs="宋体" w:hint="eastAsia"/>
                <w:color w:val="000000"/>
                <w:kern w:val="0"/>
                <w:sz w:val="18"/>
                <w:szCs w:val="18"/>
              </w:rPr>
              <w:t>债券型证券投资基金</w:t>
            </w:r>
            <w:r>
              <w:rPr>
                <w:rFonts w:ascii="宋体" w:hAnsi="宋体" w:cs="宋体" w:hint="eastAsia"/>
                <w:color w:val="000000"/>
                <w:kern w:val="0"/>
                <w:sz w:val="18"/>
                <w:szCs w:val="18"/>
              </w:rPr>
              <w:t>A</w:t>
            </w:r>
            <w:r>
              <w:rPr>
                <w:rFonts w:ascii="宋体" w:hAnsi="宋体" w:cs="宋体" w:hint="eastAsia"/>
                <w:color w:val="000000"/>
                <w:kern w:val="0"/>
                <w:sz w:val="18"/>
                <w:szCs w:val="18"/>
              </w:rPr>
              <w:t>类</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519519</w:t>
            </w:r>
          </w:p>
        </w:tc>
      </w:tr>
      <w:tr w:rsidR="002230C8">
        <w:trPr>
          <w:trHeight w:val="28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51</w:t>
            </w:r>
          </w:p>
        </w:tc>
        <w:tc>
          <w:tcPr>
            <w:tcW w:w="525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华泰柏瑞信用增利债券型证券投资基金</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230C8" w:rsidRDefault="00F03AFD">
            <w:pPr>
              <w:widowControl/>
              <w:jc w:val="center"/>
              <w:rPr>
                <w:rFonts w:ascii="宋体" w:hAnsi="宋体" w:cs="宋体"/>
                <w:color w:val="000000"/>
                <w:kern w:val="0"/>
                <w:sz w:val="18"/>
                <w:szCs w:val="18"/>
              </w:rPr>
            </w:pPr>
            <w:r>
              <w:rPr>
                <w:rFonts w:ascii="宋体" w:hAnsi="宋体" w:cs="宋体" w:hint="eastAsia"/>
                <w:color w:val="000000"/>
                <w:kern w:val="0"/>
                <w:sz w:val="18"/>
                <w:szCs w:val="18"/>
              </w:rPr>
              <w:t>164606</w:t>
            </w:r>
          </w:p>
        </w:tc>
      </w:tr>
    </w:tbl>
    <w:p w:rsidR="002230C8" w:rsidRDefault="002230C8">
      <w:pPr>
        <w:ind w:firstLineChars="150" w:firstLine="270"/>
        <w:rPr>
          <w:rFonts w:asciiTheme="majorEastAsia" w:eastAsiaTheme="majorEastAsia" w:hAnsiTheme="majorEastAsia"/>
          <w:sz w:val="18"/>
          <w:szCs w:val="18"/>
        </w:rPr>
      </w:pPr>
    </w:p>
    <w:p w:rsidR="002230C8" w:rsidRDefault="00F03AFD">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自</w:t>
      </w:r>
      <w:r>
        <w:rPr>
          <w:rFonts w:asciiTheme="majorEastAsia" w:eastAsiaTheme="majorEastAsia" w:hAnsiTheme="majorEastAsia" w:cs="Calibri" w:hint="eastAsia"/>
          <w:sz w:val="18"/>
          <w:szCs w:val="18"/>
        </w:rPr>
        <w:t>2018</w:t>
      </w:r>
      <w:r>
        <w:rPr>
          <w:rFonts w:asciiTheme="majorEastAsia" w:eastAsiaTheme="majorEastAsia" w:hAnsiTheme="majorEastAsia" w:cs="Calibri" w:hint="eastAsia"/>
          <w:sz w:val="18"/>
          <w:szCs w:val="18"/>
        </w:rPr>
        <w:t>年</w:t>
      </w:r>
      <w:r>
        <w:rPr>
          <w:rFonts w:asciiTheme="majorEastAsia" w:eastAsiaTheme="majorEastAsia" w:hAnsiTheme="majorEastAsia" w:cs="Calibri" w:hint="eastAsia"/>
          <w:sz w:val="18"/>
          <w:szCs w:val="18"/>
        </w:rPr>
        <w:t>8</w:t>
      </w:r>
      <w:r>
        <w:rPr>
          <w:rFonts w:asciiTheme="majorEastAsia" w:eastAsiaTheme="majorEastAsia" w:hAnsiTheme="majorEastAsia" w:cs="Calibri" w:hint="eastAsia"/>
          <w:sz w:val="18"/>
          <w:szCs w:val="18"/>
        </w:rPr>
        <w:t>月</w:t>
      </w:r>
      <w:r>
        <w:rPr>
          <w:rFonts w:asciiTheme="majorEastAsia" w:eastAsiaTheme="majorEastAsia" w:hAnsiTheme="majorEastAsia" w:cs="Calibri" w:hint="eastAsia"/>
          <w:sz w:val="18"/>
          <w:szCs w:val="18"/>
        </w:rPr>
        <w:t>30</w:t>
      </w:r>
      <w:r>
        <w:rPr>
          <w:rFonts w:asciiTheme="majorEastAsia" w:eastAsiaTheme="majorEastAsia" w:hAnsiTheme="majorEastAsia" w:cs="Calibri" w:hint="eastAsia"/>
          <w:sz w:val="18"/>
          <w:szCs w:val="18"/>
        </w:rPr>
        <w:t>日</w:t>
      </w:r>
      <w:r>
        <w:rPr>
          <w:rFonts w:asciiTheme="majorEastAsia" w:eastAsiaTheme="majorEastAsia" w:hAnsiTheme="majorEastAsia" w:hint="eastAsia"/>
          <w:sz w:val="18"/>
          <w:szCs w:val="18"/>
        </w:rPr>
        <w:t>起，投资者可通过</w:t>
      </w:r>
      <w:r>
        <w:rPr>
          <w:rFonts w:ascii="宋体" w:hint="eastAsia"/>
          <w:sz w:val="18"/>
          <w:szCs w:val="18"/>
        </w:rPr>
        <w:t>东方财富证券</w:t>
      </w:r>
      <w:r>
        <w:rPr>
          <w:rFonts w:asciiTheme="majorEastAsia" w:eastAsiaTheme="majorEastAsia" w:hAnsiTheme="majorEastAsia" w:cs="宋体" w:hint="eastAsia"/>
          <w:color w:val="1E1E1E"/>
          <w:kern w:val="0"/>
          <w:sz w:val="18"/>
          <w:szCs w:val="18"/>
        </w:rPr>
        <w:t>任何渠道</w:t>
      </w:r>
      <w:r>
        <w:rPr>
          <w:rFonts w:asciiTheme="majorEastAsia" w:eastAsiaTheme="majorEastAsia" w:hAnsiTheme="majorEastAsia" w:hint="eastAsia"/>
          <w:sz w:val="18"/>
          <w:szCs w:val="18"/>
        </w:rPr>
        <w:t>办理上述处于开放</w:t>
      </w:r>
      <w:proofErr w:type="gramStart"/>
      <w:r>
        <w:rPr>
          <w:rFonts w:asciiTheme="majorEastAsia" w:eastAsiaTheme="majorEastAsia" w:hAnsiTheme="majorEastAsia" w:hint="eastAsia"/>
          <w:sz w:val="18"/>
          <w:szCs w:val="18"/>
        </w:rPr>
        <w:t>期基金</w:t>
      </w:r>
      <w:proofErr w:type="gramEnd"/>
      <w:r>
        <w:rPr>
          <w:rFonts w:asciiTheme="majorEastAsia" w:eastAsiaTheme="majorEastAsia" w:hAnsiTheme="majorEastAsia" w:hint="eastAsia"/>
          <w:sz w:val="18"/>
          <w:szCs w:val="18"/>
        </w:rPr>
        <w:t>开户、申购、赎回等业务。</w:t>
      </w:r>
    </w:p>
    <w:p w:rsidR="002230C8" w:rsidRDefault="002230C8">
      <w:pPr>
        <w:rPr>
          <w:rFonts w:asciiTheme="majorEastAsia" w:eastAsiaTheme="majorEastAsia" w:hAnsiTheme="majorEastAsia"/>
          <w:sz w:val="18"/>
          <w:szCs w:val="18"/>
        </w:rPr>
      </w:pPr>
    </w:p>
    <w:p w:rsidR="002230C8" w:rsidRDefault="00F03AFD">
      <w:pPr>
        <w:outlineLvl w:val="0"/>
        <w:rPr>
          <w:rFonts w:asciiTheme="majorEastAsia" w:eastAsiaTheme="majorEastAsia" w:hAnsiTheme="majorEastAsia" w:cs="Calibri"/>
          <w:sz w:val="18"/>
          <w:szCs w:val="18"/>
        </w:rPr>
      </w:pPr>
      <w:r>
        <w:rPr>
          <w:rFonts w:asciiTheme="majorEastAsia" w:eastAsiaTheme="majorEastAsia" w:hAnsiTheme="majorEastAsia" w:hint="eastAsia"/>
          <w:sz w:val="18"/>
          <w:szCs w:val="18"/>
        </w:rPr>
        <w:t>二、通</w:t>
      </w:r>
      <w:r>
        <w:rPr>
          <w:rFonts w:asciiTheme="majorEastAsia" w:eastAsiaTheme="majorEastAsia" w:hAnsiTheme="majorEastAsia" w:cs="Calibri" w:hint="eastAsia"/>
          <w:sz w:val="18"/>
          <w:szCs w:val="18"/>
        </w:rPr>
        <w:t>过东方财富证券开通上述基金转换业务</w:t>
      </w:r>
    </w:p>
    <w:p w:rsidR="002230C8" w:rsidRDefault="00F03AFD">
      <w:pPr>
        <w:ind w:firstLineChars="200" w:firstLine="360"/>
        <w:rPr>
          <w:rFonts w:asciiTheme="majorEastAsia" w:eastAsiaTheme="majorEastAsia" w:hAnsiTheme="majorEastAsia" w:cs="Calibri"/>
          <w:sz w:val="18"/>
          <w:szCs w:val="18"/>
        </w:rPr>
      </w:pPr>
      <w:r>
        <w:rPr>
          <w:rFonts w:asciiTheme="majorEastAsia" w:eastAsiaTheme="majorEastAsia" w:hAnsiTheme="majorEastAsia" w:cs="Calibri" w:hint="eastAsia"/>
          <w:sz w:val="18"/>
          <w:szCs w:val="18"/>
        </w:rPr>
        <w:t>本公司自</w:t>
      </w:r>
      <w:r>
        <w:rPr>
          <w:rFonts w:asciiTheme="majorEastAsia" w:eastAsiaTheme="majorEastAsia" w:hAnsiTheme="majorEastAsia" w:cs="Calibri" w:hint="eastAsia"/>
          <w:sz w:val="18"/>
          <w:szCs w:val="18"/>
        </w:rPr>
        <w:t>2018</w:t>
      </w:r>
      <w:r>
        <w:rPr>
          <w:rFonts w:asciiTheme="majorEastAsia" w:eastAsiaTheme="majorEastAsia" w:hAnsiTheme="majorEastAsia" w:cs="Calibri" w:hint="eastAsia"/>
          <w:sz w:val="18"/>
          <w:szCs w:val="18"/>
        </w:rPr>
        <w:t>年</w:t>
      </w:r>
      <w:r>
        <w:rPr>
          <w:rFonts w:asciiTheme="majorEastAsia" w:eastAsiaTheme="majorEastAsia" w:hAnsiTheme="majorEastAsia" w:cs="Calibri" w:hint="eastAsia"/>
          <w:sz w:val="18"/>
          <w:szCs w:val="18"/>
        </w:rPr>
        <w:t>8</w:t>
      </w:r>
      <w:r>
        <w:rPr>
          <w:rFonts w:asciiTheme="majorEastAsia" w:eastAsiaTheme="majorEastAsia" w:hAnsiTheme="majorEastAsia" w:cs="Calibri" w:hint="eastAsia"/>
          <w:sz w:val="18"/>
          <w:szCs w:val="18"/>
        </w:rPr>
        <w:t>月</w:t>
      </w:r>
      <w:r>
        <w:rPr>
          <w:rFonts w:asciiTheme="majorEastAsia" w:eastAsiaTheme="majorEastAsia" w:hAnsiTheme="majorEastAsia" w:cs="Calibri" w:hint="eastAsia"/>
          <w:sz w:val="18"/>
          <w:szCs w:val="18"/>
        </w:rPr>
        <w:t>30</w:t>
      </w:r>
      <w:r>
        <w:rPr>
          <w:rFonts w:asciiTheme="majorEastAsia" w:eastAsiaTheme="majorEastAsia" w:hAnsiTheme="majorEastAsia" w:cs="Calibri" w:hint="eastAsia"/>
          <w:sz w:val="18"/>
          <w:szCs w:val="18"/>
        </w:rPr>
        <w:t>日起在东方财富证券开通上述除华泰柏瑞</w:t>
      </w:r>
      <w:proofErr w:type="gramStart"/>
      <w:r>
        <w:rPr>
          <w:rFonts w:asciiTheme="majorEastAsia" w:eastAsiaTheme="majorEastAsia" w:hAnsiTheme="majorEastAsia" w:cs="Calibri" w:hint="eastAsia"/>
          <w:sz w:val="18"/>
          <w:szCs w:val="18"/>
        </w:rPr>
        <w:t>金字塔稳本增利</w:t>
      </w:r>
      <w:proofErr w:type="gramEnd"/>
      <w:r>
        <w:rPr>
          <w:rFonts w:asciiTheme="majorEastAsia" w:eastAsiaTheme="majorEastAsia" w:hAnsiTheme="majorEastAsia" w:cs="Calibri" w:hint="eastAsia"/>
          <w:sz w:val="18"/>
          <w:szCs w:val="18"/>
        </w:rPr>
        <w:t>债券型证券投资基金</w:t>
      </w:r>
      <w:r>
        <w:rPr>
          <w:rFonts w:asciiTheme="majorEastAsia" w:eastAsiaTheme="majorEastAsia" w:hAnsiTheme="majorEastAsia" w:cs="Calibri" w:hint="eastAsia"/>
          <w:sz w:val="18"/>
          <w:szCs w:val="18"/>
        </w:rPr>
        <w:t>A</w:t>
      </w:r>
      <w:r>
        <w:rPr>
          <w:rFonts w:asciiTheme="majorEastAsia" w:eastAsiaTheme="majorEastAsia" w:hAnsiTheme="majorEastAsia" w:cs="Calibri" w:hint="eastAsia"/>
          <w:sz w:val="18"/>
          <w:szCs w:val="18"/>
        </w:rPr>
        <w:t>类、华泰柏瑞信用增利债券型证券投资基金、华泰柏瑞亚洲领导企业混合型证券投资基金、</w:t>
      </w:r>
      <w:r>
        <w:rPr>
          <w:rFonts w:ascii="宋体" w:hAnsi="宋体" w:cs="宋体" w:hint="eastAsia"/>
          <w:kern w:val="0"/>
          <w:sz w:val="18"/>
          <w:szCs w:val="18"/>
        </w:rPr>
        <w:t>华泰柏瑞港股通量化灵活配置混合型证券投资基金</w:t>
      </w:r>
      <w:r>
        <w:rPr>
          <w:rFonts w:asciiTheme="majorEastAsia" w:eastAsiaTheme="majorEastAsia" w:hAnsiTheme="majorEastAsia" w:cs="Calibri" w:hint="eastAsia"/>
          <w:sz w:val="18"/>
          <w:szCs w:val="18"/>
        </w:rPr>
        <w:t>以外基金的转换业务。基金转换费用的收取方法及业务规则请参见各基金最新的招募说明书及本公司已刊登的基金间办理转换业务的相关公告，投资者申请基金转换时应遵循东方财富证券的规定提交业务申请。</w:t>
      </w:r>
    </w:p>
    <w:p w:rsidR="002230C8" w:rsidRDefault="002230C8">
      <w:pPr>
        <w:rPr>
          <w:rFonts w:asciiTheme="majorEastAsia" w:eastAsiaTheme="majorEastAsia" w:hAnsiTheme="majorEastAsia" w:cs="Calibri"/>
          <w:sz w:val="18"/>
          <w:szCs w:val="18"/>
        </w:rPr>
      </w:pPr>
    </w:p>
    <w:p w:rsidR="002230C8" w:rsidRDefault="00F03AFD">
      <w:pPr>
        <w:outlineLvl w:val="0"/>
        <w:rPr>
          <w:rFonts w:asciiTheme="majorEastAsia" w:eastAsiaTheme="majorEastAsia" w:hAnsiTheme="majorEastAsia" w:cs="Calibri"/>
          <w:sz w:val="18"/>
          <w:szCs w:val="18"/>
        </w:rPr>
      </w:pPr>
      <w:r>
        <w:rPr>
          <w:rFonts w:asciiTheme="majorEastAsia" w:eastAsiaTheme="majorEastAsia" w:hAnsiTheme="majorEastAsia" w:cs="Calibri" w:hint="eastAsia"/>
          <w:sz w:val="18"/>
          <w:szCs w:val="18"/>
        </w:rPr>
        <w:t>三</w:t>
      </w:r>
      <w:r>
        <w:rPr>
          <w:rFonts w:asciiTheme="majorEastAsia" w:eastAsiaTheme="majorEastAsia" w:hAnsiTheme="majorEastAsia" w:cs="Calibri" w:hint="eastAsia"/>
          <w:sz w:val="18"/>
          <w:szCs w:val="18"/>
        </w:rPr>
        <w:t>、参加东方财富证券费率优惠活动</w:t>
      </w:r>
    </w:p>
    <w:p w:rsidR="002230C8" w:rsidRDefault="00F03AFD">
      <w:pPr>
        <w:ind w:firstLine="360"/>
        <w:outlineLvl w:val="0"/>
        <w:rPr>
          <w:rFonts w:asciiTheme="majorEastAsia" w:eastAsiaTheme="majorEastAsia" w:hAnsiTheme="majorEastAsia" w:cs="Calibri"/>
          <w:sz w:val="18"/>
          <w:szCs w:val="18"/>
        </w:rPr>
      </w:pPr>
      <w:r>
        <w:rPr>
          <w:rFonts w:asciiTheme="majorEastAsia" w:eastAsiaTheme="majorEastAsia" w:hAnsiTheme="majorEastAsia" w:cs="Calibri" w:hint="eastAsia"/>
          <w:sz w:val="18"/>
          <w:szCs w:val="18"/>
        </w:rPr>
        <w:t>自</w:t>
      </w:r>
      <w:r>
        <w:rPr>
          <w:rFonts w:asciiTheme="majorEastAsia" w:eastAsiaTheme="majorEastAsia" w:hAnsiTheme="majorEastAsia" w:cs="Calibri" w:hint="eastAsia"/>
          <w:sz w:val="18"/>
          <w:szCs w:val="18"/>
        </w:rPr>
        <w:t>2018</w:t>
      </w:r>
      <w:r>
        <w:rPr>
          <w:rFonts w:asciiTheme="majorEastAsia" w:eastAsiaTheme="majorEastAsia" w:hAnsiTheme="majorEastAsia" w:cs="Calibri" w:hint="eastAsia"/>
          <w:sz w:val="18"/>
          <w:szCs w:val="18"/>
        </w:rPr>
        <w:t>年</w:t>
      </w:r>
      <w:r>
        <w:rPr>
          <w:rFonts w:asciiTheme="majorEastAsia" w:eastAsiaTheme="majorEastAsia" w:hAnsiTheme="majorEastAsia" w:cs="Calibri" w:hint="eastAsia"/>
          <w:sz w:val="18"/>
          <w:szCs w:val="18"/>
        </w:rPr>
        <w:t>8</w:t>
      </w:r>
      <w:r>
        <w:rPr>
          <w:rFonts w:asciiTheme="majorEastAsia" w:eastAsiaTheme="majorEastAsia" w:hAnsiTheme="majorEastAsia" w:cs="Calibri" w:hint="eastAsia"/>
          <w:sz w:val="18"/>
          <w:szCs w:val="18"/>
        </w:rPr>
        <w:t>月</w:t>
      </w:r>
      <w:r>
        <w:rPr>
          <w:rFonts w:asciiTheme="majorEastAsia" w:eastAsiaTheme="majorEastAsia" w:hAnsiTheme="majorEastAsia" w:cs="Calibri" w:hint="eastAsia"/>
          <w:sz w:val="18"/>
          <w:szCs w:val="18"/>
        </w:rPr>
        <w:t>30</w:t>
      </w:r>
      <w:r>
        <w:rPr>
          <w:rFonts w:asciiTheme="majorEastAsia" w:eastAsiaTheme="majorEastAsia" w:hAnsiTheme="majorEastAsia" w:cs="Calibri" w:hint="eastAsia"/>
          <w:sz w:val="18"/>
          <w:szCs w:val="18"/>
        </w:rPr>
        <w:t>日起，凡投资者通过东方财富证券认</w:t>
      </w:r>
      <w:r>
        <w:rPr>
          <w:rFonts w:asciiTheme="majorEastAsia" w:eastAsiaTheme="majorEastAsia" w:hAnsiTheme="majorEastAsia" w:cs="Calibri" w:hint="eastAsia"/>
          <w:sz w:val="18"/>
          <w:szCs w:val="18"/>
        </w:rPr>
        <w:t>/</w:t>
      </w:r>
      <w:r>
        <w:rPr>
          <w:rFonts w:asciiTheme="majorEastAsia" w:eastAsiaTheme="majorEastAsia" w:hAnsiTheme="majorEastAsia" w:cs="Calibri"/>
          <w:sz w:val="18"/>
          <w:szCs w:val="18"/>
        </w:rPr>
        <w:t>申购</w:t>
      </w:r>
      <w:r>
        <w:rPr>
          <w:rFonts w:asciiTheme="majorEastAsia" w:eastAsiaTheme="majorEastAsia" w:hAnsiTheme="majorEastAsia" w:cs="Calibri" w:hint="eastAsia"/>
          <w:sz w:val="18"/>
          <w:szCs w:val="18"/>
        </w:rPr>
        <w:t>及定期定额投资、转换上述基金（限前端收费模式），享有申购（含定期定额投资）、转换补差费率优惠，具体业务办理规定以东方财富证券的相关规定和公告为准。</w:t>
      </w:r>
    </w:p>
    <w:p w:rsidR="002230C8" w:rsidRDefault="002230C8">
      <w:pPr>
        <w:ind w:firstLineChars="200" w:firstLine="360"/>
        <w:rPr>
          <w:rFonts w:asciiTheme="majorEastAsia" w:eastAsiaTheme="majorEastAsia" w:hAnsiTheme="majorEastAsia" w:cs="Calibri"/>
          <w:sz w:val="18"/>
          <w:szCs w:val="18"/>
        </w:rPr>
      </w:pPr>
    </w:p>
    <w:p w:rsidR="002230C8" w:rsidRDefault="00F03AFD">
      <w:pPr>
        <w:outlineLvl w:val="0"/>
        <w:rPr>
          <w:rFonts w:asciiTheme="majorEastAsia" w:eastAsiaTheme="majorEastAsia" w:hAnsiTheme="majorEastAsia" w:cs="Calibri"/>
          <w:sz w:val="18"/>
          <w:szCs w:val="18"/>
        </w:rPr>
      </w:pPr>
      <w:r>
        <w:rPr>
          <w:rFonts w:asciiTheme="majorEastAsia" w:eastAsiaTheme="majorEastAsia" w:hAnsiTheme="majorEastAsia" w:cs="Calibri" w:hint="eastAsia"/>
          <w:sz w:val="18"/>
          <w:szCs w:val="18"/>
        </w:rPr>
        <w:t>四</w:t>
      </w:r>
      <w:r>
        <w:rPr>
          <w:rFonts w:asciiTheme="majorEastAsia" w:eastAsiaTheme="majorEastAsia" w:hAnsiTheme="majorEastAsia" w:cs="Calibri" w:hint="eastAsia"/>
          <w:sz w:val="18"/>
          <w:szCs w:val="18"/>
        </w:rPr>
        <w:t>、业务咨询</w:t>
      </w:r>
    </w:p>
    <w:p w:rsidR="002230C8" w:rsidRDefault="00F03AFD">
      <w:pPr>
        <w:ind w:firstLineChars="200" w:firstLine="360"/>
        <w:rPr>
          <w:rFonts w:asciiTheme="majorEastAsia" w:eastAsiaTheme="majorEastAsia" w:hAnsiTheme="majorEastAsia"/>
          <w:sz w:val="18"/>
          <w:szCs w:val="18"/>
        </w:rPr>
      </w:pPr>
      <w:r>
        <w:rPr>
          <w:rFonts w:asciiTheme="majorEastAsia" w:eastAsiaTheme="majorEastAsia" w:hAnsiTheme="majorEastAsia" w:cs="Calibri" w:hint="eastAsia"/>
          <w:sz w:val="18"/>
          <w:szCs w:val="18"/>
        </w:rPr>
        <w:t>东方财富证券的开放式基金代销资格已获中国证监会批准。投资</w:t>
      </w:r>
      <w:r>
        <w:rPr>
          <w:rFonts w:asciiTheme="majorEastAsia" w:eastAsiaTheme="majorEastAsia" w:hAnsiTheme="majorEastAsia" w:hint="eastAsia"/>
          <w:sz w:val="18"/>
          <w:szCs w:val="18"/>
        </w:rPr>
        <w:t>者若有疑问，可通过以下途径咨询有关情况：</w:t>
      </w:r>
    </w:p>
    <w:p w:rsidR="002230C8" w:rsidRDefault="00F03AFD">
      <w:pPr>
        <w:ind w:firstLineChars="200" w:firstLine="360"/>
        <w:rPr>
          <w:rFonts w:asciiTheme="majorEastAsia" w:eastAsiaTheme="majorEastAsia" w:hAnsiTheme="majorEastAsia" w:cs="Calibri"/>
          <w:sz w:val="18"/>
          <w:szCs w:val="18"/>
        </w:rPr>
      </w:pPr>
      <w:r>
        <w:rPr>
          <w:rFonts w:asciiTheme="majorEastAsia" w:eastAsiaTheme="majorEastAsia" w:hAnsiTheme="majorEastAsia" w:cs="Calibri" w:hint="eastAsia"/>
          <w:sz w:val="18"/>
          <w:szCs w:val="18"/>
        </w:rPr>
        <w:t>1</w:t>
      </w:r>
      <w:r>
        <w:rPr>
          <w:rFonts w:asciiTheme="majorEastAsia" w:eastAsiaTheme="majorEastAsia" w:hAnsiTheme="majorEastAsia" w:cs="Calibri" w:hint="eastAsia"/>
          <w:sz w:val="18"/>
          <w:szCs w:val="18"/>
        </w:rPr>
        <w:t>、西藏东方财富证券股份有限公司</w:t>
      </w:r>
    </w:p>
    <w:p w:rsidR="002230C8" w:rsidRDefault="00F03AFD">
      <w:pPr>
        <w:ind w:firstLineChars="200" w:firstLine="360"/>
        <w:rPr>
          <w:rFonts w:asciiTheme="majorEastAsia" w:eastAsiaTheme="majorEastAsia" w:hAnsiTheme="majorEastAsia" w:cs="Calibri"/>
          <w:sz w:val="18"/>
          <w:szCs w:val="18"/>
        </w:rPr>
      </w:pPr>
      <w:r>
        <w:rPr>
          <w:rFonts w:asciiTheme="majorEastAsia" w:eastAsiaTheme="majorEastAsia" w:hAnsiTheme="majorEastAsia" w:cs="Calibri" w:hint="eastAsia"/>
          <w:sz w:val="18"/>
          <w:szCs w:val="18"/>
        </w:rPr>
        <w:t>客服电话：</w:t>
      </w:r>
      <w:r>
        <w:rPr>
          <w:rFonts w:asciiTheme="majorEastAsia" w:eastAsiaTheme="majorEastAsia" w:hAnsiTheme="majorEastAsia" w:cs="Calibri" w:hint="eastAsia"/>
          <w:sz w:val="18"/>
          <w:szCs w:val="18"/>
        </w:rPr>
        <w:t>95357</w:t>
      </w:r>
    </w:p>
    <w:p w:rsidR="002230C8" w:rsidRDefault="00F03AFD">
      <w:pPr>
        <w:ind w:firstLineChars="200" w:firstLine="360"/>
        <w:rPr>
          <w:rFonts w:asciiTheme="majorEastAsia" w:eastAsiaTheme="majorEastAsia" w:hAnsiTheme="majorEastAsia" w:cs="Calibri"/>
          <w:sz w:val="18"/>
          <w:szCs w:val="18"/>
        </w:rPr>
      </w:pPr>
      <w:r>
        <w:rPr>
          <w:rFonts w:asciiTheme="majorEastAsia" w:eastAsiaTheme="majorEastAsia" w:hAnsiTheme="majorEastAsia" w:cs="Calibri" w:hint="eastAsia"/>
          <w:sz w:val="18"/>
          <w:szCs w:val="18"/>
        </w:rPr>
        <w:t>公司网址：</w:t>
      </w:r>
      <w:r w:rsidRPr="00D91CD2">
        <w:rPr>
          <w:rFonts w:asciiTheme="majorEastAsia" w:eastAsiaTheme="majorEastAsia" w:hAnsiTheme="majorEastAsia" w:cs="Calibri"/>
          <w:sz w:val="18"/>
          <w:szCs w:val="18"/>
        </w:rPr>
        <w:t>http://www.18.cn</w:t>
      </w:r>
    </w:p>
    <w:p w:rsidR="002230C8" w:rsidRDefault="002230C8">
      <w:pPr>
        <w:ind w:firstLineChars="200" w:firstLine="360"/>
        <w:rPr>
          <w:rFonts w:asciiTheme="majorEastAsia" w:eastAsiaTheme="majorEastAsia" w:hAnsiTheme="majorEastAsia" w:cs="宋体"/>
          <w:kern w:val="0"/>
          <w:sz w:val="18"/>
          <w:szCs w:val="18"/>
        </w:rPr>
      </w:pPr>
    </w:p>
    <w:p w:rsidR="002230C8" w:rsidRDefault="00F03AFD">
      <w:pPr>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 xml:space="preserve">    2</w:t>
      </w:r>
      <w:r>
        <w:rPr>
          <w:rFonts w:asciiTheme="majorEastAsia" w:eastAsiaTheme="majorEastAsia" w:hAnsiTheme="majorEastAsia" w:cs="宋体" w:hint="eastAsia"/>
          <w:kern w:val="0"/>
          <w:sz w:val="18"/>
          <w:szCs w:val="18"/>
        </w:rPr>
        <w:t>、华泰柏瑞基金管理有限公司</w:t>
      </w:r>
      <w:r>
        <w:rPr>
          <w:rFonts w:asciiTheme="majorEastAsia" w:eastAsiaTheme="majorEastAsia" w:hAnsiTheme="majorEastAsia" w:cs="宋体" w:hint="eastAsia"/>
          <w:kern w:val="0"/>
          <w:sz w:val="18"/>
          <w:szCs w:val="18"/>
        </w:rPr>
        <w:t xml:space="preserve"> </w:t>
      </w:r>
    </w:p>
    <w:p w:rsidR="002230C8" w:rsidRDefault="00F03AFD">
      <w:pPr>
        <w:ind w:firstLineChars="200" w:firstLine="360"/>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客服电话：</w:t>
      </w:r>
      <w:r>
        <w:rPr>
          <w:rFonts w:asciiTheme="majorEastAsia" w:eastAsiaTheme="majorEastAsia" w:hAnsiTheme="majorEastAsia" w:cs="宋体" w:hint="eastAsia"/>
          <w:kern w:val="0"/>
          <w:sz w:val="18"/>
          <w:szCs w:val="18"/>
        </w:rPr>
        <w:t>400-888-0001</w:t>
      </w:r>
      <w:r>
        <w:rPr>
          <w:rFonts w:asciiTheme="majorEastAsia" w:eastAsiaTheme="majorEastAsia" w:hAnsiTheme="majorEastAsia" w:cs="宋体" w:hint="eastAsia"/>
          <w:kern w:val="0"/>
          <w:sz w:val="18"/>
          <w:szCs w:val="18"/>
        </w:rPr>
        <w:t>、（</w:t>
      </w:r>
      <w:r>
        <w:rPr>
          <w:rFonts w:asciiTheme="majorEastAsia" w:eastAsiaTheme="majorEastAsia" w:hAnsiTheme="majorEastAsia" w:cs="宋体" w:hint="eastAsia"/>
          <w:kern w:val="0"/>
          <w:sz w:val="18"/>
          <w:szCs w:val="18"/>
        </w:rPr>
        <w:t>028</w:t>
      </w:r>
      <w:r>
        <w:rPr>
          <w:rFonts w:asciiTheme="majorEastAsia" w:eastAsiaTheme="majorEastAsia" w:hAnsiTheme="majorEastAsia" w:cs="宋体" w:hint="eastAsia"/>
          <w:kern w:val="0"/>
          <w:sz w:val="18"/>
          <w:szCs w:val="18"/>
        </w:rPr>
        <w:t>）</w:t>
      </w:r>
      <w:r>
        <w:rPr>
          <w:rFonts w:asciiTheme="majorEastAsia" w:eastAsiaTheme="majorEastAsia" w:hAnsiTheme="majorEastAsia" w:cs="宋体" w:hint="eastAsia"/>
          <w:kern w:val="0"/>
          <w:sz w:val="18"/>
          <w:szCs w:val="18"/>
        </w:rPr>
        <w:t>38784638</w:t>
      </w:r>
    </w:p>
    <w:p w:rsidR="002230C8" w:rsidRDefault="00F03AFD">
      <w:pPr>
        <w:ind w:firstLineChars="200" w:firstLine="360"/>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公司网址：</w:t>
      </w:r>
      <w:r>
        <w:rPr>
          <w:rFonts w:asciiTheme="majorEastAsia" w:eastAsiaTheme="majorEastAsia" w:hAnsiTheme="majorEastAsia" w:cs="宋体" w:hint="eastAsia"/>
          <w:kern w:val="0"/>
          <w:sz w:val="18"/>
          <w:szCs w:val="18"/>
        </w:rPr>
        <w:t xml:space="preserve">www.huatai-pb.com </w:t>
      </w:r>
    </w:p>
    <w:p w:rsidR="002230C8" w:rsidRDefault="002230C8">
      <w:pPr>
        <w:rPr>
          <w:rFonts w:asciiTheme="majorEastAsia" w:eastAsiaTheme="majorEastAsia" w:hAnsiTheme="majorEastAsia"/>
          <w:sz w:val="18"/>
          <w:szCs w:val="18"/>
        </w:rPr>
      </w:pPr>
    </w:p>
    <w:p w:rsidR="002230C8" w:rsidRDefault="00F03AFD">
      <w:pPr>
        <w:widowControl/>
        <w:spacing w:line="225" w:lineRule="atLeast"/>
        <w:ind w:firstLineChars="200" w:firstLine="360"/>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风险提示：本基金管理人承诺以诚实信用、勤勉尽责的原则管理和运用基金资产，但不保证基金一定盈利，也不保证最低收益。投资者投资于本基金管理人管理的基金时应认真阅读基金合同、招募说明书等法律文件，并注意投资风险。</w:t>
      </w:r>
    </w:p>
    <w:p w:rsidR="002230C8" w:rsidRDefault="00F03AFD">
      <w:pPr>
        <w:widowControl/>
        <w:spacing w:line="225" w:lineRule="atLeast"/>
        <w:jc w:val="left"/>
        <w:rPr>
          <w:rFonts w:asciiTheme="majorEastAsia" w:eastAsiaTheme="majorEastAsia" w:hAnsiTheme="majorEastAsia" w:cs="宋体"/>
          <w:kern w:val="0"/>
          <w:sz w:val="18"/>
          <w:szCs w:val="18"/>
        </w:rPr>
      </w:pPr>
      <w:r>
        <w:rPr>
          <w:rFonts w:asciiTheme="majorEastAsia" w:eastAsiaTheme="majorEastAsia" w:hAnsiTheme="majorEastAsia" w:cs="宋体"/>
          <w:kern w:val="0"/>
          <w:sz w:val="18"/>
          <w:szCs w:val="18"/>
        </w:rPr>
        <w:br/>
      </w:r>
      <w:r>
        <w:rPr>
          <w:rFonts w:asciiTheme="majorEastAsia" w:eastAsiaTheme="majorEastAsia" w:hAnsiTheme="majorEastAsia"/>
          <w:kern w:val="0"/>
          <w:sz w:val="18"/>
          <w:szCs w:val="18"/>
        </w:rPr>
        <w:t xml:space="preserve">    </w:t>
      </w:r>
      <w:r>
        <w:rPr>
          <w:rFonts w:asciiTheme="majorEastAsia" w:eastAsiaTheme="majorEastAsia" w:hAnsiTheme="majorEastAsia" w:cs="宋体" w:hint="eastAsia"/>
          <w:kern w:val="0"/>
          <w:sz w:val="18"/>
          <w:szCs w:val="18"/>
        </w:rPr>
        <w:t>特此公告。</w:t>
      </w:r>
    </w:p>
    <w:p w:rsidR="002230C8" w:rsidRDefault="00F03AFD">
      <w:pPr>
        <w:widowControl/>
        <w:spacing w:line="225" w:lineRule="atLeast"/>
        <w:jc w:val="righ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华泰柏瑞基金管理有限公司</w:t>
      </w:r>
    </w:p>
    <w:p w:rsidR="002230C8" w:rsidRDefault="00F03AFD">
      <w:pPr>
        <w:widowControl/>
        <w:spacing w:line="225" w:lineRule="atLeast"/>
        <w:jc w:val="righ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2018</w:t>
      </w:r>
      <w:r>
        <w:rPr>
          <w:rFonts w:asciiTheme="majorEastAsia" w:eastAsiaTheme="majorEastAsia" w:hAnsiTheme="majorEastAsia" w:cs="宋体" w:hint="eastAsia"/>
          <w:kern w:val="0"/>
          <w:sz w:val="18"/>
          <w:szCs w:val="18"/>
        </w:rPr>
        <w:t>年</w:t>
      </w:r>
      <w:r>
        <w:rPr>
          <w:rFonts w:asciiTheme="majorEastAsia" w:eastAsiaTheme="majorEastAsia" w:hAnsiTheme="majorEastAsia" w:cs="宋体" w:hint="eastAsia"/>
          <w:kern w:val="0"/>
          <w:sz w:val="18"/>
          <w:szCs w:val="18"/>
        </w:rPr>
        <w:t>8</w:t>
      </w:r>
      <w:r>
        <w:rPr>
          <w:rFonts w:asciiTheme="majorEastAsia" w:eastAsiaTheme="majorEastAsia" w:hAnsiTheme="majorEastAsia" w:cs="宋体" w:hint="eastAsia"/>
          <w:kern w:val="0"/>
          <w:sz w:val="18"/>
          <w:szCs w:val="18"/>
        </w:rPr>
        <w:t>月</w:t>
      </w:r>
      <w:r>
        <w:rPr>
          <w:rFonts w:asciiTheme="majorEastAsia" w:eastAsiaTheme="majorEastAsia" w:hAnsiTheme="majorEastAsia" w:cs="宋体" w:hint="eastAsia"/>
          <w:kern w:val="0"/>
          <w:sz w:val="18"/>
          <w:szCs w:val="18"/>
        </w:rPr>
        <w:t>28</w:t>
      </w:r>
      <w:r>
        <w:rPr>
          <w:rFonts w:asciiTheme="majorEastAsia" w:eastAsiaTheme="majorEastAsia" w:hAnsiTheme="majorEastAsia" w:cs="宋体" w:hint="eastAsia"/>
          <w:kern w:val="0"/>
          <w:sz w:val="18"/>
          <w:szCs w:val="18"/>
        </w:rPr>
        <w:t>日</w:t>
      </w:r>
    </w:p>
    <w:sectPr w:rsidR="002230C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AFD" w:rsidRDefault="00F03AFD" w:rsidP="00D91CD2">
      <w:r>
        <w:separator/>
      </w:r>
    </w:p>
  </w:endnote>
  <w:endnote w:type="continuationSeparator" w:id="0">
    <w:p w:rsidR="00F03AFD" w:rsidRDefault="00F03AFD" w:rsidP="00D91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AFD" w:rsidRDefault="00F03AFD" w:rsidP="00D91CD2">
      <w:r>
        <w:separator/>
      </w:r>
    </w:p>
  </w:footnote>
  <w:footnote w:type="continuationSeparator" w:id="0">
    <w:p w:rsidR="00F03AFD" w:rsidRDefault="00F03AFD" w:rsidP="00D91C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80E5A"/>
    <w:multiLevelType w:val="multilevel"/>
    <w:tmpl w:val="47C80E5A"/>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5A34"/>
    <w:rsid w:val="00003A3E"/>
    <w:rsid w:val="00005B2A"/>
    <w:rsid w:val="00011771"/>
    <w:rsid w:val="000139B1"/>
    <w:rsid w:val="00027BB2"/>
    <w:rsid w:val="00031628"/>
    <w:rsid w:val="000442C4"/>
    <w:rsid w:val="00051A9C"/>
    <w:rsid w:val="00062326"/>
    <w:rsid w:val="0006732D"/>
    <w:rsid w:val="00067E91"/>
    <w:rsid w:val="0007369A"/>
    <w:rsid w:val="000740EA"/>
    <w:rsid w:val="00095626"/>
    <w:rsid w:val="000A16A1"/>
    <w:rsid w:val="000B4953"/>
    <w:rsid w:val="000D343D"/>
    <w:rsid w:val="000E1ED1"/>
    <w:rsid w:val="000E6863"/>
    <w:rsid w:val="00101370"/>
    <w:rsid w:val="00102EC0"/>
    <w:rsid w:val="00112E93"/>
    <w:rsid w:val="00117E9C"/>
    <w:rsid w:val="00127736"/>
    <w:rsid w:val="00127781"/>
    <w:rsid w:val="00143B7A"/>
    <w:rsid w:val="00155EEC"/>
    <w:rsid w:val="00161746"/>
    <w:rsid w:val="001646AB"/>
    <w:rsid w:val="00172F78"/>
    <w:rsid w:val="001820B4"/>
    <w:rsid w:val="00191769"/>
    <w:rsid w:val="00192AC6"/>
    <w:rsid w:val="001A1E5C"/>
    <w:rsid w:val="001B02B9"/>
    <w:rsid w:val="001B04F2"/>
    <w:rsid w:val="001B12CC"/>
    <w:rsid w:val="001B76F1"/>
    <w:rsid w:val="001C6265"/>
    <w:rsid w:val="001C6F9F"/>
    <w:rsid w:val="001D02E8"/>
    <w:rsid w:val="001D330E"/>
    <w:rsid w:val="001D33A1"/>
    <w:rsid w:val="001E070A"/>
    <w:rsid w:val="001E698E"/>
    <w:rsid w:val="00201BBC"/>
    <w:rsid w:val="00207DB0"/>
    <w:rsid w:val="0021344A"/>
    <w:rsid w:val="002230C8"/>
    <w:rsid w:val="00232D2A"/>
    <w:rsid w:val="00233548"/>
    <w:rsid w:val="00235341"/>
    <w:rsid w:val="0024097B"/>
    <w:rsid w:val="00242684"/>
    <w:rsid w:val="00263F6B"/>
    <w:rsid w:val="00266A4F"/>
    <w:rsid w:val="00273063"/>
    <w:rsid w:val="002746BE"/>
    <w:rsid w:val="002747DC"/>
    <w:rsid w:val="0027611F"/>
    <w:rsid w:val="0028342B"/>
    <w:rsid w:val="00285785"/>
    <w:rsid w:val="00286B3C"/>
    <w:rsid w:val="00290F9B"/>
    <w:rsid w:val="00295EC0"/>
    <w:rsid w:val="00296D6B"/>
    <w:rsid w:val="00297BAF"/>
    <w:rsid w:val="002B175F"/>
    <w:rsid w:val="002C73E3"/>
    <w:rsid w:val="002E552F"/>
    <w:rsid w:val="002E6B88"/>
    <w:rsid w:val="00301629"/>
    <w:rsid w:val="00304A22"/>
    <w:rsid w:val="00305964"/>
    <w:rsid w:val="00307393"/>
    <w:rsid w:val="0031303D"/>
    <w:rsid w:val="0031712B"/>
    <w:rsid w:val="00323FC0"/>
    <w:rsid w:val="00326C30"/>
    <w:rsid w:val="00327A61"/>
    <w:rsid w:val="00354254"/>
    <w:rsid w:val="00356193"/>
    <w:rsid w:val="0036530E"/>
    <w:rsid w:val="00370875"/>
    <w:rsid w:val="00375885"/>
    <w:rsid w:val="00375C4B"/>
    <w:rsid w:val="003801F9"/>
    <w:rsid w:val="00380AA4"/>
    <w:rsid w:val="003814C3"/>
    <w:rsid w:val="0038244C"/>
    <w:rsid w:val="00390632"/>
    <w:rsid w:val="0039366B"/>
    <w:rsid w:val="00394DDF"/>
    <w:rsid w:val="00396F9E"/>
    <w:rsid w:val="003A32CA"/>
    <w:rsid w:val="003A7FDC"/>
    <w:rsid w:val="003B2A82"/>
    <w:rsid w:val="003B57CA"/>
    <w:rsid w:val="003B5EF5"/>
    <w:rsid w:val="003C2D9C"/>
    <w:rsid w:val="003C3683"/>
    <w:rsid w:val="003C6B22"/>
    <w:rsid w:val="003D0692"/>
    <w:rsid w:val="003D09C1"/>
    <w:rsid w:val="003D7E56"/>
    <w:rsid w:val="003E2BE5"/>
    <w:rsid w:val="003E7692"/>
    <w:rsid w:val="003F7077"/>
    <w:rsid w:val="004009B2"/>
    <w:rsid w:val="004203E8"/>
    <w:rsid w:val="0043177C"/>
    <w:rsid w:val="00436801"/>
    <w:rsid w:val="0044423B"/>
    <w:rsid w:val="00445B29"/>
    <w:rsid w:val="0044662C"/>
    <w:rsid w:val="00454950"/>
    <w:rsid w:val="00457834"/>
    <w:rsid w:val="00457FC3"/>
    <w:rsid w:val="004734C2"/>
    <w:rsid w:val="00481C10"/>
    <w:rsid w:val="00494169"/>
    <w:rsid w:val="00495B11"/>
    <w:rsid w:val="004A20D1"/>
    <w:rsid w:val="004B0AF5"/>
    <w:rsid w:val="004B518D"/>
    <w:rsid w:val="004C7CD4"/>
    <w:rsid w:val="004D1E12"/>
    <w:rsid w:val="004E2C57"/>
    <w:rsid w:val="004E4194"/>
    <w:rsid w:val="004F2AEF"/>
    <w:rsid w:val="004F562D"/>
    <w:rsid w:val="00500829"/>
    <w:rsid w:val="00507744"/>
    <w:rsid w:val="00507FE2"/>
    <w:rsid w:val="0051129A"/>
    <w:rsid w:val="0051330B"/>
    <w:rsid w:val="00526850"/>
    <w:rsid w:val="005302C0"/>
    <w:rsid w:val="00530391"/>
    <w:rsid w:val="0053239F"/>
    <w:rsid w:val="00532647"/>
    <w:rsid w:val="00533367"/>
    <w:rsid w:val="00535F32"/>
    <w:rsid w:val="00547FD0"/>
    <w:rsid w:val="005605C4"/>
    <w:rsid w:val="00562588"/>
    <w:rsid w:val="005775D5"/>
    <w:rsid w:val="00590CC1"/>
    <w:rsid w:val="005A0EF3"/>
    <w:rsid w:val="005A58DF"/>
    <w:rsid w:val="005A6CF5"/>
    <w:rsid w:val="005A6DFC"/>
    <w:rsid w:val="005B139B"/>
    <w:rsid w:val="005C728E"/>
    <w:rsid w:val="005D4110"/>
    <w:rsid w:val="005F0F0C"/>
    <w:rsid w:val="005F5668"/>
    <w:rsid w:val="0060304A"/>
    <w:rsid w:val="00613AA2"/>
    <w:rsid w:val="00615EE0"/>
    <w:rsid w:val="00617232"/>
    <w:rsid w:val="00617BAA"/>
    <w:rsid w:val="00622519"/>
    <w:rsid w:val="00622A9F"/>
    <w:rsid w:val="00626236"/>
    <w:rsid w:val="00634C9C"/>
    <w:rsid w:val="00637280"/>
    <w:rsid w:val="00653B4F"/>
    <w:rsid w:val="00661991"/>
    <w:rsid w:val="00662973"/>
    <w:rsid w:val="00666688"/>
    <w:rsid w:val="0067368D"/>
    <w:rsid w:val="00677A0D"/>
    <w:rsid w:val="00691ACF"/>
    <w:rsid w:val="00691C82"/>
    <w:rsid w:val="006964B8"/>
    <w:rsid w:val="006A5500"/>
    <w:rsid w:val="006A5671"/>
    <w:rsid w:val="006B7E0E"/>
    <w:rsid w:val="006C1F53"/>
    <w:rsid w:val="006C2F1C"/>
    <w:rsid w:val="006D0DF3"/>
    <w:rsid w:val="006E606B"/>
    <w:rsid w:val="006F4268"/>
    <w:rsid w:val="0070133B"/>
    <w:rsid w:val="0070370C"/>
    <w:rsid w:val="00725049"/>
    <w:rsid w:val="007342DA"/>
    <w:rsid w:val="00752245"/>
    <w:rsid w:val="00756630"/>
    <w:rsid w:val="007624D1"/>
    <w:rsid w:val="007652A5"/>
    <w:rsid w:val="00765737"/>
    <w:rsid w:val="00767C79"/>
    <w:rsid w:val="0077758C"/>
    <w:rsid w:val="00783E92"/>
    <w:rsid w:val="00784464"/>
    <w:rsid w:val="00786BFE"/>
    <w:rsid w:val="00787FAD"/>
    <w:rsid w:val="00790BA3"/>
    <w:rsid w:val="00790F42"/>
    <w:rsid w:val="007913F2"/>
    <w:rsid w:val="00791CDD"/>
    <w:rsid w:val="00791E72"/>
    <w:rsid w:val="0079412F"/>
    <w:rsid w:val="00796E68"/>
    <w:rsid w:val="007974CA"/>
    <w:rsid w:val="007974FB"/>
    <w:rsid w:val="007A383D"/>
    <w:rsid w:val="007C601F"/>
    <w:rsid w:val="007D371D"/>
    <w:rsid w:val="007D65F9"/>
    <w:rsid w:val="007E0070"/>
    <w:rsid w:val="007F22BD"/>
    <w:rsid w:val="007F3F3D"/>
    <w:rsid w:val="007F6B80"/>
    <w:rsid w:val="008041DA"/>
    <w:rsid w:val="00807615"/>
    <w:rsid w:val="00810757"/>
    <w:rsid w:val="0082038C"/>
    <w:rsid w:val="00822652"/>
    <w:rsid w:val="008230BA"/>
    <w:rsid w:val="0084594A"/>
    <w:rsid w:val="00846909"/>
    <w:rsid w:val="008733EC"/>
    <w:rsid w:val="00880E07"/>
    <w:rsid w:val="00882B57"/>
    <w:rsid w:val="008934B2"/>
    <w:rsid w:val="00894472"/>
    <w:rsid w:val="00895E35"/>
    <w:rsid w:val="008A7B02"/>
    <w:rsid w:val="008C0FC6"/>
    <w:rsid w:val="008D0B0C"/>
    <w:rsid w:val="008D5358"/>
    <w:rsid w:val="008E04C4"/>
    <w:rsid w:val="008E3A30"/>
    <w:rsid w:val="008E48EF"/>
    <w:rsid w:val="008F3820"/>
    <w:rsid w:val="008F412E"/>
    <w:rsid w:val="008F4E56"/>
    <w:rsid w:val="008F5A04"/>
    <w:rsid w:val="00904029"/>
    <w:rsid w:val="009204CF"/>
    <w:rsid w:val="00925696"/>
    <w:rsid w:val="00927E91"/>
    <w:rsid w:val="00932FB4"/>
    <w:rsid w:val="00936D47"/>
    <w:rsid w:val="00947FDC"/>
    <w:rsid w:val="0096168B"/>
    <w:rsid w:val="00977C63"/>
    <w:rsid w:val="00977F77"/>
    <w:rsid w:val="00982FFC"/>
    <w:rsid w:val="00983273"/>
    <w:rsid w:val="009854FB"/>
    <w:rsid w:val="00994603"/>
    <w:rsid w:val="0099607A"/>
    <w:rsid w:val="00997ECD"/>
    <w:rsid w:val="009A3A6F"/>
    <w:rsid w:val="009A5E93"/>
    <w:rsid w:val="009B06F8"/>
    <w:rsid w:val="009B792E"/>
    <w:rsid w:val="009B7F23"/>
    <w:rsid w:val="009C6D3B"/>
    <w:rsid w:val="009D04A5"/>
    <w:rsid w:val="009D081B"/>
    <w:rsid w:val="009F2855"/>
    <w:rsid w:val="009F3181"/>
    <w:rsid w:val="009F44B3"/>
    <w:rsid w:val="009F63B0"/>
    <w:rsid w:val="00A10416"/>
    <w:rsid w:val="00A106DC"/>
    <w:rsid w:val="00A2341C"/>
    <w:rsid w:val="00A245DC"/>
    <w:rsid w:val="00A25157"/>
    <w:rsid w:val="00A2791B"/>
    <w:rsid w:val="00A32F2E"/>
    <w:rsid w:val="00A3524B"/>
    <w:rsid w:val="00A54C12"/>
    <w:rsid w:val="00A569E2"/>
    <w:rsid w:val="00A56A12"/>
    <w:rsid w:val="00A646AF"/>
    <w:rsid w:val="00A7521B"/>
    <w:rsid w:val="00A80447"/>
    <w:rsid w:val="00A80DFF"/>
    <w:rsid w:val="00A81462"/>
    <w:rsid w:val="00A814DA"/>
    <w:rsid w:val="00AB211B"/>
    <w:rsid w:val="00AB68C1"/>
    <w:rsid w:val="00AC08D0"/>
    <w:rsid w:val="00AC1C39"/>
    <w:rsid w:val="00AC637B"/>
    <w:rsid w:val="00AC73C0"/>
    <w:rsid w:val="00AD07B0"/>
    <w:rsid w:val="00AD5C8E"/>
    <w:rsid w:val="00AD5FB7"/>
    <w:rsid w:val="00AE32B7"/>
    <w:rsid w:val="00AF0195"/>
    <w:rsid w:val="00AF02A9"/>
    <w:rsid w:val="00B02C85"/>
    <w:rsid w:val="00B05833"/>
    <w:rsid w:val="00B26546"/>
    <w:rsid w:val="00B411B3"/>
    <w:rsid w:val="00B51100"/>
    <w:rsid w:val="00B5188D"/>
    <w:rsid w:val="00B55F6F"/>
    <w:rsid w:val="00B6712B"/>
    <w:rsid w:val="00B74C8F"/>
    <w:rsid w:val="00B81F4D"/>
    <w:rsid w:val="00B825E6"/>
    <w:rsid w:val="00B84293"/>
    <w:rsid w:val="00B942E9"/>
    <w:rsid w:val="00BA5082"/>
    <w:rsid w:val="00BA595D"/>
    <w:rsid w:val="00BB1671"/>
    <w:rsid w:val="00BB7DF0"/>
    <w:rsid w:val="00BC4DDE"/>
    <w:rsid w:val="00BD5674"/>
    <w:rsid w:val="00BD68C8"/>
    <w:rsid w:val="00BE5024"/>
    <w:rsid w:val="00BE6CF5"/>
    <w:rsid w:val="00BF03BD"/>
    <w:rsid w:val="00BF4FE3"/>
    <w:rsid w:val="00BF5AA1"/>
    <w:rsid w:val="00C0004A"/>
    <w:rsid w:val="00C02A4E"/>
    <w:rsid w:val="00C07220"/>
    <w:rsid w:val="00C1390C"/>
    <w:rsid w:val="00C23D7F"/>
    <w:rsid w:val="00C24F94"/>
    <w:rsid w:val="00C346B3"/>
    <w:rsid w:val="00C43315"/>
    <w:rsid w:val="00C6350F"/>
    <w:rsid w:val="00C63955"/>
    <w:rsid w:val="00C70135"/>
    <w:rsid w:val="00C704B3"/>
    <w:rsid w:val="00C71A86"/>
    <w:rsid w:val="00C90B22"/>
    <w:rsid w:val="00C91673"/>
    <w:rsid w:val="00C9167C"/>
    <w:rsid w:val="00C955EB"/>
    <w:rsid w:val="00C97409"/>
    <w:rsid w:val="00CA1C2C"/>
    <w:rsid w:val="00CA5E37"/>
    <w:rsid w:val="00CA63F9"/>
    <w:rsid w:val="00CB0B53"/>
    <w:rsid w:val="00CB602E"/>
    <w:rsid w:val="00CB6EBD"/>
    <w:rsid w:val="00CC1973"/>
    <w:rsid w:val="00CC3012"/>
    <w:rsid w:val="00CD06FF"/>
    <w:rsid w:val="00CD329E"/>
    <w:rsid w:val="00CD79C8"/>
    <w:rsid w:val="00CE0E62"/>
    <w:rsid w:val="00CE5300"/>
    <w:rsid w:val="00CF01E6"/>
    <w:rsid w:val="00CF1160"/>
    <w:rsid w:val="00D121E1"/>
    <w:rsid w:val="00D14EBA"/>
    <w:rsid w:val="00D14F44"/>
    <w:rsid w:val="00D41E24"/>
    <w:rsid w:val="00D46BBB"/>
    <w:rsid w:val="00D47505"/>
    <w:rsid w:val="00D524B2"/>
    <w:rsid w:val="00D57095"/>
    <w:rsid w:val="00D60710"/>
    <w:rsid w:val="00D61B99"/>
    <w:rsid w:val="00D66D0F"/>
    <w:rsid w:val="00D7204F"/>
    <w:rsid w:val="00D77E9D"/>
    <w:rsid w:val="00D8103C"/>
    <w:rsid w:val="00D876D2"/>
    <w:rsid w:val="00D91CD2"/>
    <w:rsid w:val="00DA3C47"/>
    <w:rsid w:val="00DA3FA1"/>
    <w:rsid w:val="00DB194B"/>
    <w:rsid w:val="00DB2769"/>
    <w:rsid w:val="00DB3698"/>
    <w:rsid w:val="00DB6712"/>
    <w:rsid w:val="00DD24C0"/>
    <w:rsid w:val="00DE02CB"/>
    <w:rsid w:val="00DE3CB2"/>
    <w:rsid w:val="00DE50D0"/>
    <w:rsid w:val="00DE5E8F"/>
    <w:rsid w:val="00DE6885"/>
    <w:rsid w:val="00DF19A6"/>
    <w:rsid w:val="00E034EF"/>
    <w:rsid w:val="00E1297B"/>
    <w:rsid w:val="00E160B6"/>
    <w:rsid w:val="00E17999"/>
    <w:rsid w:val="00E261D2"/>
    <w:rsid w:val="00E318F7"/>
    <w:rsid w:val="00E3481D"/>
    <w:rsid w:val="00E35C01"/>
    <w:rsid w:val="00E53502"/>
    <w:rsid w:val="00E53837"/>
    <w:rsid w:val="00E6080D"/>
    <w:rsid w:val="00E728C3"/>
    <w:rsid w:val="00E73057"/>
    <w:rsid w:val="00E85A34"/>
    <w:rsid w:val="00E87D22"/>
    <w:rsid w:val="00E94B23"/>
    <w:rsid w:val="00E95139"/>
    <w:rsid w:val="00EA4584"/>
    <w:rsid w:val="00EA5D03"/>
    <w:rsid w:val="00EC724F"/>
    <w:rsid w:val="00ED5A58"/>
    <w:rsid w:val="00ED71F5"/>
    <w:rsid w:val="00EE5DBF"/>
    <w:rsid w:val="00EE6696"/>
    <w:rsid w:val="00F02973"/>
    <w:rsid w:val="00F03ABE"/>
    <w:rsid w:val="00F03AFD"/>
    <w:rsid w:val="00F0561E"/>
    <w:rsid w:val="00F05671"/>
    <w:rsid w:val="00F1636D"/>
    <w:rsid w:val="00F24623"/>
    <w:rsid w:val="00F32814"/>
    <w:rsid w:val="00F32F30"/>
    <w:rsid w:val="00F33002"/>
    <w:rsid w:val="00F41DD4"/>
    <w:rsid w:val="00F64E55"/>
    <w:rsid w:val="00F73148"/>
    <w:rsid w:val="00F75BD0"/>
    <w:rsid w:val="00F81A83"/>
    <w:rsid w:val="00F84EBD"/>
    <w:rsid w:val="00F9184D"/>
    <w:rsid w:val="00FA65E8"/>
    <w:rsid w:val="00FC04DA"/>
    <w:rsid w:val="00FC1DC3"/>
    <w:rsid w:val="00FC4469"/>
    <w:rsid w:val="00FF0F07"/>
    <w:rsid w:val="00FF2AC4"/>
    <w:rsid w:val="09B01A13"/>
    <w:rsid w:val="0FD961BD"/>
    <w:rsid w:val="21B81F43"/>
    <w:rsid w:val="37E47546"/>
    <w:rsid w:val="4B7F721A"/>
    <w:rsid w:val="4D776B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nhideWhenUsed="0" w:qFormat="1"/>
    <w:lsdException w:name="Hyperlink" w:semiHidden="0"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unhideWhenUsed/>
    <w:qFormat/>
    <w:rPr>
      <w:b/>
      <w:bCs/>
    </w:rPr>
  </w:style>
  <w:style w:type="paragraph" w:styleId="a4">
    <w:name w:val="annotation text"/>
    <w:basedOn w:val="a"/>
    <w:link w:val="Char0"/>
    <w:semiHidden/>
    <w:unhideWhenUsed/>
    <w:pPr>
      <w:jc w:val="left"/>
    </w:pPr>
  </w:style>
  <w:style w:type="paragraph" w:styleId="a5">
    <w:name w:val="Document Map"/>
    <w:basedOn w:val="a"/>
    <w:link w:val="Char1"/>
    <w:semiHidden/>
    <w:unhideWhenUsed/>
    <w:qFormat/>
    <w:rPr>
      <w:rFonts w:ascii="宋体"/>
      <w:sz w:val="18"/>
      <w:szCs w:val="18"/>
    </w:rPr>
  </w:style>
  <w:style w:type="paragraph" w:styleId="2">
    <w:name w:val="Body Text Indent 2"/>
    <w:basedOn w:val="a"/>
    <w:link w:val="2Char"/>
    <w:qFormat/>
    <w:pPr>
      <w:autoSpaceDE w:val="0"/>
      <w:autoSpaceDN w:val="0"/>
      <w:adjustRightInd w:val="0"/>
      <w:spacing w:line="500" w:lineRule="exact"/>
      <w:ind w:firstLineChars="200" w:firstLine="512"/>
      <w:jc w:val="left"/>
    </w:pPr>
    <w:rPr>
      <w:rFonts w:ascii="宋体" w:hAnsi="Times New Roman"/>
      <w:color w:val="000000"/>
      <w:spacing w:val="8"/>
      <w:kern w:val="0"/>
      <w:sz w:val="24"/>
      <w:szCs w:val="20"/>
    </w:rPr>
  </w:style>
  <w:style w:type="paragraph" w:styleId="a6">
    <w:name w:val="Balloon Text"/>
    <w:basedOn w:val="a"/>
    <w:link w:val="Char2"/>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333333"/>
      <w:u w:val="none"/>
    </w:rPr>
  </w:style>
  <w:style w:type="character" w:styleId="aa">
    <w:name w:val="annotation reference"/>
    <w:basedOn w:val="a0"/>
    <w:semiHidden/>
    <w:unhideWhenUsed/>
    <w:qFormat/>
    <w:rPr>
      <w:sz w:val="21"/>
      <w:szCs w:val="21"/>
    </w:rPr>
  </w:style>
  <w:style w:type="character" w:customStyle="1" w:styleId="Char4">
    <w:name w:val="页眉 Char"/>
    <w:basedOn w:val="a0"/>
    <w:link w:val="a8"/>
    <w:uiPriority w:val="99"/>
    <w:semiHidden/>
    <w:qFormat/>
    <w:rPr>
      <w:sz w:val="18"/>
      <w:szCs w:val="18"/>
    </w:rPr>
  </w:style>
  <w:style w:type="character" w:customStyle="1" w:styleId="Char3">
    <w:name w:val="页脚 Char"/>
    <w:basedOn w:val="a0"/>
    <w:link w:val="a7"/>
    <w:uiPriority w:val="99"/>
    <w:semiHidden/>
    <w:qFormat/>
    <w:rPr>
      <w:sz w:val="18"/>
      <w:szCs w:val="18"/>
    </w:rPr>
  </w:style>
  <w:style w:type="character" w:customStyle="1" w:styleId="Char2">
    <w:name w:val="批注框文本 Char"/>
    <w:basedOn w:val="a0"/>
    <w:link w:val="a6"/>
    <w:semiHidden/>
    <w:qFormat/>
    <w:rPr>
      <w:rFonts w:ascii="Calibri" w:hAnsi="Calibri"/>
      <w:kern w:val="2"/>
      <w:sz w:val="18"/>
      <w:szCs w:val="18"/>
    </w:rPr>
  </w:style>
  <w:style w:type="character" w:customStyle="1" w:styleId="2Char">
    <w:name w:val="正文文本缩进 2 Char"/>
    <w:basedOn w:val="a0"/>
    <w:link w:val="2"/>
    <w:qFormat/>
    <w:rPr>
      <w:rFonts w:ascii="宋体"/>
      <w:color w:val="000000"/>
      <w:spacing w:val="8"/>
      <w:sz w:val="24"/>
    </w:rPr>
  </w:style>
  <w:style w:type="paragraph" w:customStyle="1" w:styleId="1">
    <w:name w:val="列出段落1"/>
    <w:basedOn w:val="a"/>
    <w:uiPriority w:val="99"/>
    <w:unhideWhenUsed/>
    <w:qFormat/>
    <w:pPr>
      <w:ind w:firstLineChars="200" w:firstLine="420"/>
    </w:pPr>
  </w:style>
  <w:style w:type="character" w:customStyle="1" w:styleId="Char1">
    <w:name w:val="文档结构图 Char"/>
    <w:basedOn w:val="a0"/>
    <w:link w:val="a5"/>
    <w:semiHidden/>
    <w:qFormat/>
    <w:rPr>
      <w:rFonts w:ascii="宋体" w:hAnsi="Calibri"/>
      <w:kern w:val="2"/>
      <w:sz w:val="18"/>
      <w:szCs w:val="18"/>
    </w:rPr>
  </w:style>
  <w:style w:type="character" w:customStyle="1" w:styleId="Char0">
    <w:name w:val="批注文字 Char"/>
    <w:basedOn w:val="a0"/>
    <w:link w:val="a4"/>
    <w:semiHidden/>
    <w:qFormat/>
    <w:rPr>
      <w:rFonts w:ascii="Calibri" w:hAnsi="Calibri"/>
      <w:kern w:val="2"/>
      <w:sz w:val="21"/>
      <w:szCs w:val="22"/>
    </w:rPr>
  </w:style>
  <w:style w:type="character" w:customStyle="1" w:styleId="Char">
    <w:name w:val="批注主题 Char"/>
    <w:basedOn w:val="Char0"/>
    <w:link w:val="a3"/>
    <w:semiHidden/>
    <w:qFormat/>
    <w:rPr>
      <w:rFonts w:ascii="Calibri" w:hAnsi="Calibr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EDD7E7-F43C-49D3-834D-F5E6E1887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396</Words>
  <Characters>2258</Characters>
  <Application>Microsoft Office Word</Application>
  <DocSecurity>0</DocSecurity>
  <Lines>18</Lines>
  <Paragraphs>5</Paragraphs>
  <ScaleCrop>false</ScaleCrop>
  <Company>华泰柏瑞基金公司</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华泰柏瑞基金管理有限公司旗下部分基金增加恒丰银行股份有限公司为代销机构的公告</dc:title>
  <dc:creator>yangj</dc:creator>
  <cp:lastModifiedBy>SHC</cp:lastModifiedBy>
  <cp:revision>10</cp:revision>
  <cp:lastPrinted>2014-12-08T06:50:00Z</cp:lastPrinted>
  <dcterms:created xsi:type="dcterms:W3CDTF">2018-01-24T07:22:00Z</dcterms:created>
  <dcterms:modified xsi:type="dcterms:W3CDTF">2019-04-09T06:19:00Z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