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C3" w:rsidRDefault="00F81E54" w:rsidP="00F81E54">
      <w:pPr>
        <w:spacing w:line="360" w:lineRule="auto"/>
        <w:jc w:val="center"/>
        <w:rPr>
          <w:rFonts w:eastAsia="黑体"/>
          <w:b/>
          <w:color w:val="000000"/>
          <w:sz w:val="32"/>
        </w:rPr>
      </w:pPr>
      <w:bookmarkStart w:id="0" w:name="_GoBack"/>
      <w:bookmarkEnd w:id="0"/>
      <w:r>
        <w:rPr>
          <w:rFonts w:eastAsia="黑体" w:hint="eastAsia"/>
          <w:b/>
          <w:color w:val="000000"/>
          <w:sz w:val="32"/>
        </w:rPr>
        <w:t>富国基金管理有限公司关于增加</w:t>
      </w:r>
      <w:r w:rsidR="00103C8B" w:rsidRPr="00103C8B">
        <w:rPr>
          <w:rFonts w:eastAsia="黑体" w:hint="eastAsia"/>
          <w:b/>
          <w:color w:val="000000"/>
          <w:sz w:val="32"/>
        </w:rPr>
        <w:t>西藏东方财富证券股份有限公司</w:t>
      </w:r>
      <w:r>
        <w:rPr>
          <w:rFonts w:eastAsia="黑体" w:hint="eastAsia"/>
          <w:b/>
          <w:color w:val="000000"/>
          <w:sz w:val="32"/>
        </w:rPr>
        <w:t>为旗下部分开放式证券投资基金代销机构且开通转换业务</w:t>
      </w:r>
      <w:r w:rsidR="00103C8B">
        <w:rPr>
          <w:rFonts w:eastAsia="黑体" w:hint="eastAsia"/>
          <w:b/>
          <w:color w:val="000000"/>
          <w:sz w:val="32"/>
        </w:rPr>
        <w:t>及参加申购</w:t>
      </w:r>
      <w:r w:rsidR="00103C8B" w:rsidRPr="00103C8B">
        <w:rPr>
          <w:rFonts w:eastAsia="黑体" w:hint="eastAsia"/>
          <w:b/>
          <w:color w:val="000000"/>
          <w:sz w:val="32"/>
        </w:rPr>
        <w:t>费率优惠活动的公告</w:t>
      </w:r>
    </w:p>
    <w:p w:rsidR="00F81E54" w:rsidRDefault="00F81E54" w:rsidP="00103C8B">
      <w:pPr>
        <w:spacing w:line="360" w:lineRule="auto"/>
        <w:ind w:firstLineChars="200" w:firstLine="480"/>
        <w:rPr>
          <w:rFonts w:ascii="宋体" w:hAnsi="宋体"/>
          <w:color w:val="000000"/>
          <w:sz w:val="24"/>
          <w:szCs w:val="24"/>
        </w:rPr>
      </w:pPr>
      <w:r>
        <w:rPr>
          <w:rFonts w:ascii="宋体" w:hAnsi="宋体" w:hint="eastAsia"/>
          <w:color w:val="000000"/>
          <w:sz w:val="24"/>
          <w:szCs w:val="24"/>
        </w:rPr>
        <w:t>根据富国基金管理有限公司（以下简称“本公司”）与</w:t>
      </w:r>
      <w:r w:rsidR="00103C8B" w:rsidRPr="00103C8B">
        <w:rPr>
          <w:rFonts w:ascii="宋体" w:hAnsi="宋体" w:hint="eastAsia"/>
          <w:color w:val="000000"/>
          <w:sz w:val="24"/>
          <w:szCs w:val="24"/>
        </w:rPr>
        <w:t>西藏东方财富证券股份有限公司</w:t>
      </w:r>
      <w:r w:rsidRPr="00F81E54">
        <w:rPr>
          <w:rFonts w:ascii="宋体" w:hAnsi="宋体" w:hint="eastAsia"/>
          <w:color w:val="000000"/>
          <w:sz w:val="24"/>
          <w:szCs w:val="24"/>
        </w:rPr>
        <w:t>（以下简称</w:t>
      </w:r>
      <w:r w:rsidR="00103C8B" w:rsidRPr="00F81E54">
        <w:rPr>
          <w:rFonts w:ascii="宋体" w:hAnsi="宋体" w:hint="eastAsia"/>
          <w:color w:val="000000"/>
          <w:sz w:val="24"/>
          <w:szCs w:val="24"/>
        </w:rPr>
        <w:t>“</w:t>
      </w:r>
      <w:r w:rsidR="00103C8B">
        <w:rPr>
          <w:rFonts w:ascii="宋体" w:hAnsi="宋体" w:hint="eastAsia"/>
          <w:color w:val="000000"/>
          <w:sz w:val="24"/>
          <w:szCs w:val="24"/>
        </w:rPr>
        <w:t>东方财富</w:t>
      </w:r>
      <w:r w:rsidR="00103C8B" w:rsidRPr="00F81E54">
        <w:rPr>
          <w:rFonts w:ascii="宋体" w:hAnsi="宋体" w:hint="eastAsia"/>
          <w:color w:val="000000"/>
          <w:sz w:val="24"/>
          <w:szCs w:val="24"/>
        </w:rPr>
        <w:t>”</w:t>
      </w:r>
      <w:r w:rsidRPr="00F81E54">
        <w:rPr>
          <w:rFonts w:ascii="宋体" w:hAnsi="宋体" w:hint="eastAsia"/>
          <w:color w:val="000000"/>
          <w:sz w:val="24"/>
          <w:szCs w:val="24"/>
        </w:rPr>
        <w:t>）签署的销售代理协议</w:t>
      </w:r>
      <w:r>
        <w:rPr>
          <w:rFonts w:ascii="宋体" w:hAnsi="宋体" w:hint="eastAsia"/>
          <w:color w:val="000000"/>
          <w:sz w:val="24"/>
          <w:szCs w:val="24"/>
        </w:rPr>
        <w:t>，针对本公司旗下部分开放式证券投资基金开通如下业务：</w:t>
      </w:r>
    </w:p>
    <w:p w:rsidR="00F81E54" w:rsidRDefault="00F81E54" w:rsidP="00F81E54">
      <w:pPr>
        <w:spacing w:line="360" w:lineRule="auto"/>
        <w:ind w:firstLineChars="200" w:firstLine="480"/>
        <w:rPr>
          <w:rFonts w:ascii="宋体" w:hAnsi="宋体"/>
          <w:color w:val="000000"/>
          <w:sz w:val="24"/>
          <w:szCs w:val="24"/>
        </w:rPr>
      </w:pPr>
    </w:p>
    <w:p w:rsidR="00F81E54" w:rsidRPr="008A10B1" w:rsidRDefault="00F81E54" w:rsidP="008A10B1">
      <w:pPr>
        <w:spacing w:line="360" w:lineRule="auto"/>
        <w:ind w:firstLineChars="200" w:firstLine="482"/>
        <w:rPr>
          <w:rFonts w:ascii="宋体" w:hAnsi="宋体"/>
          <w:b/>
          <w:color w:val="000000"/>
          <w:sz w:val="24"/>
          <w:szCs w:val="24"/>
        </w:rPr>
      </w:pPr>
      <w:r w:rsidRPr="008A10B1">
        <w:rPr>
          <w:rFonts w:ascii="宋体" w:hAnsi="宋体" w:hint="eastAsia"/>
          <w:b/>
          <w:color w:val="000000"/>
          <w:sz w:val="24"/>
          <w:szCs w:val="24"/>
        </w:rPr>
        <w:t>一、开户业务和基金的申购、赎回业务</w:t>
      </w:r>
    </w:p>
    <w:p w:rsidR="00F81E54" w:rsidRDefault="00F81E54" w:rsidP="0063101F">
      <w:pPr>
        <w:spacing w:line="360" w:lineRule="auto"/>
        <w:ind w:firstLineChars="200" w:firstLine="480"/>
        <w:rPr>
          <w:rFonts w:ascii="宋体" w:hAnsi="宋体"/>
          <w:color w:val="000000"/>
          <w:sz w:val="24"/>
          <w:szCs w:val="24"/>
        </w:rPr>
      </w:pPr>
      <w:r>
        <w:rPr>
          <w:rFonts w:ascii="宋体" w:hAnsi="宋体" w:hint="eastAsia"/>
          <w:color w:val="000000"/>
          <w:sz w:val="24"/>
          <w:szCs w:val="24"/>
        </w:rPr>
        <w:t>自</w:t>
      </w:r>
      <w:r w:rsidR="00F26709">
        <w:rPr>
          <w:rFonts w:ascii="宋体" w:hAnsi="宋体" w:hint="eastAsia"/>
          <w:color w:val="000000"/>
          <w:sz w:val="24"/>
          <w:szCs w:val="24"/>
        </w:rPr>
        <w:t>2018年1</w:t>
      </w:r>
      <w:r w:rsidR="004A0ABF">
        <w:rPr>
          <w:rFonts w:ascii="宋体" w:hAnsi="宋体" w:hint="eastAsia"/>
          <w:color w:val="000000"/>
          <w:sz w:val="24"/>
          <w:szCs w:val="24"/>
        </w:rPr>
        <w:t>1</w:t>
      </w:r>
      <w:r w:rsidR="00F26709">
        <w:rPr>
          <w:rFonts w:ascii="宋体" w:hAnsi="宋体" w:hint="eastAsia"/>
          <w:color w:val="000000"/>
          <w:sz w:val="24"/>
          <w:szCs w:val="24"/>
        </w:rPr>
        <w:t>月</w:t>
      </w:r>
      <w:r w:rsidR="004A0ABF">
        <w:rPr>
          <w:rFonts w:ascii="宋体" w:hAnsi="宋体" w:hint="eastAsia"/>
          <w:color w:val="000000"/>
          <w:sz w:val="24"/>
          <w:szCs w:val="24"/>
        </w:rPr>
        <w:t>27</w:t>
      </w:r>
      <w:r>
        <w:rPr>
          <w:rFonts w:ascii="宋体" w:hAnsi="宋体" w:hint="eastAsia"/>
          <w:color w:val="000000"/>
          <w:sz w:val="24"/>
          <w:szCs w:val="24"/>
        </w:rPr>
        <w:t>日起，本公司旗下</w:t>
      </w:r>
      <w:r w:rsidRPr="00F81E54">
        <w:rPr>
          <w:rFonts w:ascii="宋体" w:hAnsi="宋体" w:hint="eastAsia"/>
          <w:color w:val="000000"/>
          <w:sz w:val="24"/>
          <w:szCs w:val="24"/>
        </w:rPr>
        <w:t>富国天</w:t>
      </w:r>
      <w:proofErr w:type="gramStart"/>
      <w:r w:rsidRPr="00F81E54">
        <w:rPr>
          <w:rFonts w:ascii="宋体" w:hAnsi="宋体" w:hint="eastAsia"/>
          <w:color w:val="000000"/>
          <w:sz w:val="24"/>
          <w:szCs w:val="24"/>
        </w:rPr>
        <w:t>源沪港深平衡</w:t>
      </w:r>
      <w:proofErr w:type="gramEnd"/>
      <w:r w:rsidRPr="00F81E54">
        <w:rPr>
          <w:rFonts w:ascii="宋体" w:hAnsi="宋体" w:hint="eastAsia"/>
          <w:color w:val="000000"/>
          <w:sz w:val="24"/>
          <w:szCs w:val="24"/>
        </w:rPr>
        <w:t>混合型证券投资基金、富国天利增长债券投资基金、富国天</w:t>
      </w:r>
      <w:proofErr w:type="gramStart"/>
      <w:r w:rsidRPr="00F81E54">
        <w:rPr>
          <w:rFonts w:ascii="宋体" w:hAnsi="宋体" w:hint="eastAsia"/>
          <w:color w:val="000000"/>
          <w:sz w:val="24"/>
          <w:szCs w:val="24"/>
        </w:rPr>
        <w:t>益价值</w:t>
      </w:r>
      <w:proofErr w:type="gramEnd"/>
      <w:r w:rsidRPr="00F81E54">
        <w:rPr>
          <w:rFonts w:ascii="宋体" w:hAnsi="宋体" w:hint="eastAsia"/>
          <w:color w:val="000000"/>
          <w:sz w:val="24"/>
          <w:szCs w:val="24"/>
        </w:rPr>
        <w:t>混合型证券投资基金、富国天瑞强势地区精选混合型证券投资基金、富国天惠精选成长混合型证券投资基金（LOF）、富国天时货币市场基金（A类/B类份额）、富国天合稳健优选混合型证券投资基金、富国天</w:t>
      </w:r>
      <w:proofErr w:type="gramStart"/>
      <w:r w:rsidRPr="00F81E54">
        <w:rPr>
          <w:rFonts w:ascii="宋体" w:hAnsi="宋体" w:hint="eastAsia"/>
          <w:color w:val="000000"/>
          <w:sz w:val="24"/>
          <w:szCs w:val="24"/>
        </w:rPr>
        <w:t>博创新</w:t>
      </w:r>
      <w:proofErr w:type="gramEnd"/>
      <w:r w:rsidRPr="00F81E54">
        <w:rPr>
          <w:rFonts w:ascii="宋体" w:hAnsi="宋体" w:hint="eastAsia"/>
          <w:color w:val="000000"/>
          <w:sz w:val="24"/>
          <w:szCs w:val="24"/>
        </w:rPr>
        <w:t>主题混合型证券投资基金、富国天成红利灵活配置混合型证券投资基金、富国中证红利指数增强型证券投资基金、富国天丰强化收益债券型证券投资基金、富国优化增强债券型证券投资基金、富国沪深300增强证券投资基金、富国通胀通</w:t>
      </w:r>
      <w:proofErr w:type="gramStart"/>
      <w:r w:rsidRPr="00F81E54">
        <w:rPr>
          <w:rFonts w:ascii="宋体" w:hAnsi="宋体" w:hint="eastAsia"/>
          <w:color w:val="000000"/>
          <w:sz w:val="24"/>
          <w:szCs w:val="24"/>
        </w:rPr>
        <w:t>缩主题轮</w:t>
      </w:r>
      <w:proofErr w:type="gramEnd"/>
      <w:r w:rsidRPr="00F81E54">
        <w:rPr>
          <w:rFonts w:ascii="宋体" w:hAnsi="宋体" w:hint="eastAsia"/>
          <w:color w:val="000000"/>
          <w:sz w:val="24"/>
          <w:szCs w:val="24"/>
        </w:rPr>
        <w:t>动混合型证券投资基金、富国汇利回报两年定期开放债券型证券投资基金、富国全球债券证券投资基金、富国可转换债券证券投资基金、富国上证综指交易型开放式指数证券投资基金联接基金、富国天</w:t>
      </w:r>
      <w:proofErr w:type="gramStart"/>
      <w:r w:rsidRPr="00F81E54">
        <w:rPr>
          <w:rFonts w:ascii="宋体" w:hAnsi="宋体" w:hint="eastAsia"/>
          <w:color w:val="000000"/>
          <w:sz w:val="24"/>
          <w:szCs w:val="24"/>
        </w:rPr>
        <w:t>盈</w:t>
      </w:r>
      <w:proofErr w:type="gramEnd"/>
      <w:r w:rsidRPr="00F81E54">
        <w:rPr>
          <w:rFonts w:ascii="宋体" w:hAnsi="宋体" w:hint="eastAsia"/>
          <w:color w:val="000000"/>
          <w:sz w:val="24"/>
          <w:szCs w:val="24"/>
        </w:rPr>
        <w:t>债券型证券投资基金（LOF）、富国低碳环保混合型证券投资基金、富国全球科技互联网股票型证券投资基金（QDII）、富国中证500指数增强型证券投资基金(LOF)、富国产业债债券型证券投资基金、</w:t>
      </w:r>
      <w:proofErr w:type="gramStart"/>
      <w:r w:rsidRPr="00F81E54">
        <w:rPr>
          <w:rFonts w:ascii="宋体" w:hAnsi="宋体" w:hint="eastAsia"/>
          <w:color w:val="000000"/>
          <w:sz w:val="24"/>
          <w:szCs w:val="24"/>
        </w:rPr>
        <w:t>富国新天锋定期</w:t>
      </w:r>
      <w:proofErr w:type="gramEnd"/>
      <w:r w:rsidRPr="00F81E54">
        <w:rPr>
          <w:rFonts w:ascii="宋体" w:hAnsi="宋体" w:hint="eastAsia"/>
          <w:color w:val="000000"/>
          <w:sz w:val="24"/>
          <w:szCs w:val="24"/>
        </w:rPr>
        <w:t>开放债券型证券投资基金、富国高新技术产业混合型证券投资基金、富国中国中小盘（香港上市）混合型证券投资基金、富国纯债债券型发起式证券投资基金、富国强回报定期开放债券型证券投资基金、富国宏观策略灵活配置混合型证券投资基金、富国</w:t>
      </w:r>
      <w:proofErr w:type="gramStart"/>
      <w:r w:rsidRPr="00F81E54">
        <w:rPr>
          <w:rFonts w:ascii="宋体" w:hAnsi="宋体" w:hint="eastAsia"/>
          <w:color w:val="000000"/>
          <w:sz w:val="24"/>
          <w:szCs w:val="24"/>
        </w:rPr>
        <w:t>稳健增强</w:t>
      </w:r>
      <w:proofErr w:type="gramEnd"/>
      <w:r w:rsidRPr="00F81E54">
        <w:rPr>
          <w:rFonts w:ascii="宋体" w:hAnsi="宋体" w:hint="eastAsia"/>
          <w:color w:val="000000"/>
          <w:sz w:val="24"/>
          <w:szCs w:val="24"/>
        </w:rPr>
        <w:t>债券型证券投资基金、富国信用债债券型证券投资基金、富国目标收益一年</w:t>
      </w:r>
      <w:proofErr w:type="gramStart"/>
      <w:r w:rsidRPr="00F81E54">
        <w:rPr>
          <w:rFonts w:ascii="宋体" w:hAnsi="宋体" w:hint="eastAsia"/>
          <w:color w:val="000000"/>
          <w:sz w:val="24"/>
          <w:szCs w:val="24"/>
        </w:rPr>
        <w:t>期纯债</w:t>
      </w:r>
      <w:proofErr w:type="gramEnd"/>
      <w:r w:rsidRPr="00F81E54">
        <w:rPr>
          <w:rFonts w:ascii="宋体" w:hAnsi="宋体" w:hint="eastAsia"/>
          <w:color w:val="000000"/>
          <w:sz w:val="24"/>
          <w:szCs w:val="24"/>
        </w:rPr>
        <w:t>债券型证券投资基金、富国医疗保健行业混合型证券投资基金、富国目标收益两年</w:t>
      </w:r>
      <w:proofErr w:type="gramStart"/>
      <w:r w:rsidRPr="00F81E54">
        <w:rPr>
          <w:rFonts w:ascii="宋体" w:hAnsi="宋体" w:hint="eastAsia"/>
          <w:color w:val="000000"/>
          <w:sz w:val="24"/>
          <w:szCs w:val="24"/>
        </w:rPr>
        <w:t>期纯债</w:t>
      </w:r>
      <w:proofErr w:type="gramEnd"/>
      <w:r w:rsidRPr="00F81E54">
        <w:rPr>
          <w:rFonts w:ascii="宋体" w:hAnsi="宋体" w:hint="eastAsia"/>
          <w:color w:val="000000"/>
          <w:sz w:val="24"/>
          <w:szCs w:val="24"/>
        </w:rPr>
        <w:t>债券型证券投资基金、富国国有企业债债券型证券投资基金、富国城镇发展股票型证券投资基金、富国天盛灵活配置混合型证券投资基金、富国高端制造行</w:t>
      </w:r>
      <w:r w:rsidRPr="00F81E54">
        <w:rPr>
          <w:rFonts w:ascii="宋体" w:hAnsi="宋体" w:hint="eastAsia"/>
          <w:color w:val="000000"/>
          <w:sz w:val="24"/>
          <w:szCs w:val="24"/>
        </w:rPr>
        <w:lastRenderedPageBreak/>
        <w:t>业股票型证券投资基金、富国目标齐利一年</w:t>
      </w:r>
      <w:proofErr w:type="gramStart"/>
      <w:r w:rsidRPr="00F81E54">
        <w:rPr>
          <w:rFonts w:ascii="宋体" w:hAnsi="宋体" w:hint="eastAsia"/>
          <w:color w:val="000000"/>
          <w:sz w:val="24"/>
          <w:szCs w:val="24"/>
        </w:rPr>
        <w:t>期纯债</w:t>
      </w:r>
      <w:proofErr w:type="gramEnd"/>
      <w:r w:rsidRPr="00F81E54">
        <w:rPr>
          <w:rFonts w:ascii="宋体" w:hAnsi="宋体" w:hint="eastAsia"/>
          <w:color w:val="000000"/>
          <w:sz w:val="24"/>
          <w:szCs w:val="24"/>
        </w:rPr>
        <w:t>债券型证券投资基金、富国收益增强债券型证券投资基金、富国研究精选灵活配置混合型证券投资基金、富国新回报灵活配置混合型证券投资基金、富国中小盘精选混合型证券投资基金、富国消费主题混合型证券投资基金、富国新兴产业股票型证券投资基金、富国文体健康股票型证券投资基金、富国国家安全主题混合型证券投资基金、富国改革动力混合型证券投资基金、富国沪港</w:t>
      </w:r>
      <w:proofErr w:type="gramStart"/>
      <w:r w:rsidRPr="00F81E54">
        <w:rPr>
          <w:rFonts w:ascii="宋体" w:hAnsi="宋体" w:hint="eastAsia"/>
          <w:color w:val="000000"/>
          <w:sz w:val="24"/>
          <w:szCs w:val="24"/>
        </w:rPr>
        <w:t>深价值</w:t>
      </w:r>
      <w:proofErr w:type="gramEnd"/>
      <w:r w:rsidRPr="00F81E54">
        <w:rPr>
          <w:rFonts w:ascii="宋体" w:hAnsi="宋体" w:hint="eastAsia"/>
          <w:color w:val="000000"/>
          <w:sz w:val="24"/>
          <w:szCs w:val="24"/>
        </w:rPr>
        <w:t>精选灵活配置混合型证券投资基金、富国绝对收益多策略定期开放混合型发起式证券投资基金、富国低碳新经济混合型证券投资基金、富国中证智能汽车指数证券投资基金（LOF）、富国研究优选沪港深灵活配置混合型证券投资基金、富国价值优势混合型证券投资基金、富国美丽中国混合型证券投资基金、富国创新科技混合型证券投资基金、富国新动力灵活配置混合型证券投资基金、富国久利稳健配置混合型证券投资基金、富国中证高端制造指数增强型证券投资基金（LOF）、富国产业升级混合型证券投资基金、富国新兴成长量化精选混合型证券投资基金(LOF)、</w:t>
      </w:r>
      <w:proofErr w:type="gramStart"/>
      <w:r w:rsidRPr="00F81E54">
        <w:rPr>
          <w:rFonts w:ascii="宋体" w:hAnsi="宋体" w:hint="eastAsia"/>
          <w:color w:val="000000"/>
          <w:sz w:val="24"/>
          <w:szCs w:val="24"/>
        </w:rPr>
        <w:t>富国新优享灵活</w:t>
      </w:r>
      <w:proofErr w:type="gramEnd"/>
      <w:r w:rsidRPr="00F81E54">
        <w:rPr>
          <w:rFonts w:ascii="宋体" w:hAnsi="宋体" w:hint="eastAsia"/>
          <w:color w:val="000000"/>
          <w:sz w:val="24"/>
          <w:szCs w:val="24"/>
        </w:rPr>
        <w:t>配置混合型证券投资基金、富国嘉利稳健配置定期开放混合型证券投资基金、富国精</w:t>
      </w:r>
      <w:proofErr w:type="gramStart"/>
      <w:r w:rsidRPr="00F81E54">
        <w:rPr>
          <w:rFonts w:ascii="宋体" w:hAnsi="宋体" w:hint="eastAsia"/>
          <w:color w:val="000000"/>
          <w:sz w:val="24"/>
          <w:szCs w:val="24"/>
        </w:rPr>
        <w:t>准医疗灵活</w:t>
      </w:r>
      <w:proofErr w:type="gramEnd"/>
      <w:r w:rsidRPr="00F81E54">
        <w:rPr>
          <w:rFonts w:ascii="宋体" w:hAnsi="宋体" w:hint="eastAsia"/>
          <w:color w:val="000000"/>
          <w:sz w:val="24"/>
          <w:szCs w:val="24"/>
        </w:rPr>
        <w:t>配置混合型证券投资基金、富国新优选灵活配置定期开放混合型证券投资基金、富国研究量化精选混合型证券投资基金、富国金利定期开放混合型证券投资基金、</w:t>
      </w:r>
      <w:r w:rsidR="0063101F" w:rsidRPr="0063101F">
        <w:rPr>
          <w:rFonts w:ascii="宋体" w:hAnsi="宋体" w:hint="eastAsia"/>
          <w:color w:val="000000"/>
          <w:sz w:val="24"/>
          <w:szCs w:val="24"/>
        </w:rPr>
        <w:t>富国</w:t>
      </w:r>
      <w:proofErr w:type="gramStart"/>
      <w:r w:rsidR="0063101F" w:rsidRPr="0063101F">
        <w:rPr>
          <w:rFonts w:ascii="宋体" w:hAnsi="宋体" w:hint="eastAsia"/>
          <w:color w:val="000000"/>
          <w:sz w:val="24"/>
          <w:szCs w:val="24"/>
        </w:rPr>
        <w:t>绿色纯债一年</w:t>
      </w:r>
      <w:proofErr w:type="gramEnd"/>
      <w:r w:rsidR="0063101F" w:rsidRPr="0063101F">
        <w:rPr>
          <w:rFonts w:ascii="宋体" w:hAnsi="宋体" w:hint="eastAsia"/>
          <w:color w:val="000000"/>
          <w:sz w:val="24"/>
          <w:szCs w:val="24"/>
        </w:rPr>
        <w:t>定期开放债券型证券投资基金</w:t>
      </w:r>
      <w:r w:rsidR="0063101F">
        <w:rPr>
          <w:rFonts w:ascii="宋体" w:hAnsi="宋体" w:hint="eastAsia"/>
          <w:color w:val="000000"/>
          <w:sz w:val="24"/>
          <w:szCs w:val="24"/>
        </w:rPr>
        <w:t>、</w:t>
      </w:r>
      <w:r w:rsidR="0063101F" w:rsidRPr="0063101F">
        <w:rPr>
          <w:rFonts w:ascii="宋体" w:hAnsi="宋体" w:hint="eastAsia"/>
          <w:color w:val="000000"/>
          <w:sz w:val="24"/>
          <w:szCs w:val="24"/>
        </w:rPr>
        <w:t>富国成长优选三年定期开放灵活配置混合型证券投资基金</w:t>
      </w:r>
      <w:r w:rsidR="0063101F">
        <w:rPr>
          <w:rFonts w:ascii="宋体" w:hAnsi="宋体" w:hint="eastAsia"/>
          <w:color w:val="000000"/>
          <w:sz w:val="24"/>
          <w:szCs w:val="24"/>
        </w:rPr>
        <w:t>、</w:t>
      </w:r>
      <w:r w:rsidRPr="00F81E54">
        <w:rPr>
          <w:rFonts w:ascii="宋体" w:hAnsi="宋体" w:hint="eastAsia"/>
          <w:color w:val="000000"/>
          <w:sz w:val="24"/>
          <w:szCs w:val="24"/>
        </w:rPr>
        <w:t>富国国企改革灵活配置混合型证券投资基金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富国新趋势灵活配置混合型证券投资基金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富国价值驱动灵活配置混合型证券投资基金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富国军工主题混合型证券投资基金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富国转型机遇混合型证券投资基金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富国港股通量化精选股票型证券投资基金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富国中证1000指数增强型证券投资基金</w:t>
      </w:r>
      <w:r w:rsidR="00D35484">
        <w:rPr>
          <w:rFonts w:ascii="宋体" w:hAnsi="宋体" w:hint="eastAsia"/>
          <w:color w:val="000000"/>
          <w:sz w:val="24"/>
          <w:szCs w:val="24"/>
        </w:rPr>
        <w:t>(LOF)、</w:t>
      </w:r>
      <w:r w:rsidR="00D35484" w:rsidRPr="00D35484">
        <w:rPr>
          <w:rFonts w:ascii="宋体" w:hAnsi="宋体" w:hint="eastAsia"/>
          <w:color w:val="000000"/>
          <w:sz w:val="24"/>
          <w:szCs w:val="24"/>
        </w:rPr>
        <w:t>富国周期优势混合型证券投资基金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富国大盘价值量化精选混合型证券投资基金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w:t>
      </w:r>
      <w:proofErr w:type="gramStart"/>
      <w:r w:rsidR="00D35484" w:rsidRPr="00D35484">
        <w:rPr>
          <w:rFonts w:ascii="宋体" w:hAnsi="宋体" w:hint="eastAsia"/>
          <w:color w:val="000000"/>
          <w:sz w:val="24"/>
          <w:szCs w:val="24"/>
        </w:rPr>
        <w:t>深行业</w:t>
      </w:r>
      <w:proofErr w:type="gramEnd"/>
      <w:r w:rsidR="00D35484" w:rsidRPr="00D35484">
        <w:rPr>
          <w:rFonts w:ascii="宋体" w:hAnsi="宋体" w:hint="eastAsia"/>
          <w:color w:val="000000"/>
          <w:sz w:val="24"/>
          <w:szCs w:val="24"/>
        </w:rPr>
        <w:t>精选灵活配置混合型发起式证券投资基金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w:t>
      </w:r>
      <w:proofErr w:type="gramStart"/>
      <w:r w:rsidR="00D35484" w:rsidRPr="00D35484">
        <w:rPr>
          <w:rFonts w:ascii="宋体" w:hAnsi="宋体" w:hint="eastAsia"/>
          <w:color w:val="000000"/>
          <w:sz w:val="24"/>
          <w:szCs w:val="24"/>
        </w:rPr>
        <w:t>深业绩</w:t>
      </w:r>
      <w:proofErr w:type="gramEnd"/>
      <w:r w:rsidR="00D35484" w:rsidRPr="00D35484">
        <w:rPr>
          <w:rFonts w:ascii="宋体" w:hAnsi="宋体" w:hint="eastAsia"/>
          <w:color w:val="000000"/>
          <w:sz w:val="24"/>
          <w:szCs w:val="24"/>
        </w:rPr>
        <w:t>驱动混合型证券投资基金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富国臻</w:t>
      </w:r>
      <w:proofErr w:type="gramStart"/>
      <w:r w:rsidR="00D35484" w:rsidRPr="00D35484">
        <w:rPr>
          <w:rFonts w:ascii="宋体" w:hAnsi="宋体" w:hint="eastAsia"/>
          <w:color w:val="000000"/>
          <w:sz w:val="24"/>
          <w:szCs w:val="24"/>
        </w:rPr>
        <w:t>选成长</w:t>
      </w:r>
      <w:proofErr w:type="gramEnd"/>
      <w:r w:rsidR="00D35484" w:rsidRPr="00D35484">
        <w:rPr>
          <w:rFonts w:ascii="宋体" w:hAnsi="宋体" w:hint="eastAsia"/>
          <w:color w:val="000000"/>
          <w:sz w:val="24"/>
          <w:szCs w:val="24"/>
        </w:rPr>
        <w:t>灵活配置混合型证券投资基金</w:t>
      </w:r>
      <w:r w:rsidR="00103C8B">
        <w:rPr>
          <w:rFonts w:ascii="宋体" w:hAnsi="宋体" w:hint="eastAsia"/>
          <w:color w:val="000000"/>
          <w:sz w:val="24"/>
          <w:szCs w:val="24"/>
        </w:rPr>
        <w:t>、</w:t>
      </w:r>
      <w:r w:rsidR="00103C8B" w:rsidRPr="00103C8B">
        <w:rPr>
          <w:rFonts w:ascii="宋体" w:hAnsi="宋体" w:hint="eastAsia"/>
          <w:color w:val="000000"/>
          <w:sz w:val="24"/>
          <w:szCs w:val="24"/>
        </w:rPr>
        <w:t>富国兴</w:t>
      </w:r>
      <w:proofErr w:type="gramStart"/>
      <w:r w:rsidR="00103C8B" w:rsidRPr="00103C8B">
        <w:rPr>
          <w:rFonts w:ascii="宋体" w:hAnsi="宋体" w:hint="eastAsia"/>
          <w:color w:val="000000"/>
          <w:sz w:val="24"/>
          <w:szCs w:val="24"/>
        </w:rPr>
        <w:t>利增强</w:t>
      </w:r>
      <w:proofErr w:type="gramEnd"/>
      <w:r w:rsidR="00103C8B" w:rsidRPr="00103C8B">
        <w:rPr>
          <w:rFonts w:ascii="宋体" w:hAnsi="宋体" w:hint="eastAsia"/>
          <w:color w:val="000000"/>
          <w:sz w:val="24"/>
          <w:szCs w:val="24"/>
        </w:rPr>
        <w:t>债券型发起式证券投资基金</w:t>
      </w:r>
      <w:r w:rsidR="00103C8B">
        <w:rPr>
          <w:rFonts w:ascii="宋体" w:hAnsi="宋体" w:hint="eastAsia"/>
          <w:color w:val="000000"/>
          <w:sz w:val="24"/>
          <w:szCs w:val="24"/>
        </w:rPr>
        <w:t>、</w:t>
      </w:r>
      <w:r w:rsidR="00103C8B" w:rsidRPr="00103C8B">
        <w:rPr>
          <w:rFonts w:ascii="宋体" w:hAnsi="宋体" w:hint="eastAsia"/>
          <w:color w:val="000000"/>
          <w:sz w:val="24"/>
          <w:szCs w:val="24"/>
        </w:rPr>
        <w:t>富国宝</w:t>
      </w:r>
      <w:proofErr w:type="gramStart"/>
      <w:r w:rsidR="00103C8B" w:rsidRPr="00103C8B">
        <w:rPr>
          <w:rFonts w:ascii="宋体" w:hAnsi="宋体" w:hint="eastAsia"/>
          <w:color w:val="000000"/>
          <w:sz w:val="24"/>
          <w:szCs w:val="24"/>
        </w:rPr>
        <w:t>利增强</w:t>
      </w:r>
      <w:proofErr w:type="gramEnd"/>
      <w:r w:rsidR="00103C8B" w:rsidRPr="00103C8B">
        <w:rPr>
          <w:rFonts w:ascii="宋体" w:hAnsi="宋体" w:hint="eastAsia"/>
          <w:color w:val="000000"/>
          <w:sz w:val="24"/>
          <w:szCs w:val="24"/>
        </w:rPr>
        <w:t>债券型发起式证券投资基金</w:t>
      </w:r>
      <w:r w:rsidR="00103C8B">
        <w:rPr>
          <w:rFonts w:ascii="宋体" w:hAnsi="宋体" w:hint="eastAsia"/>
          <w:color w:val="000000"/>
          <w:sz w:val="24"/>
          <w:szCs w:val="24"/>
        </w:rPr>
        <w:t>、</w:t>
      </w:r>
      <w:r w:rsidR="00103C8B" w:rsidRPr="00103C8B">
        <w:rPr>
          <w:rFonts w:ascii="宋体" w:hAnsi="宋体" w:hint="eastAsia"/>
          <w:color w:val="000000"/>
          <w:sz w:val="24"/>
          <w:szCs w:val="24"/>
        </w:rPr>
        <w:t>富国丰</w:t>
      </w:r>
      <w:proofErr w:type="gramStart"/>
      <w:r w:rsidR="00103C8B" w:rsidRPr="00103C8B">
        <w:rPr>
          <w:rFonts w:ascii="宋体" w:hAnsi="宋体" w:hint="eastAsia"/>
          <w:color w:val="000000"/>
          <w:sz w:val="24"/>
          <w:szCs w:val="24"/>
        </w:rPr>
        <w:t>利增强</w:t>
      </w:r>
      <w:proofErr w:type="gramEnd"/>
      <w:r w:rsidR="00103C8B" w:rsidRPr="00103C8B">
        <w:rPr>
          <w:rFonts w:ascii="宋体" w:hAnsi="宋体" w:hint="eastAsia"/>
          <w:color w:val="000000"/>
          <w:sz w:val="24"/>
          <w:szCs w:val="24"/>
        </w:rPr>
        <w:t>债券型发起式证券投资基金</w:t>
      </w:r>
      <w:r>
        <w:rPr>
          <w:rFonts w:ascii="宋体" w:hAnsi="宋体" w:hint="eastAsia"/>
          <w:color w:val="000000"/>
          <w:sz w:val="24"/>
          <w:szCs w:val="24"/>
        </w:rPr>
        <w:t>新增</w:t>
      </w:r>
      <w:r w:rsidR="00103C8B">
        <w:rPr>
          <w:rFonts w:ascii="宋体" w:hAnsi="宋体" w:hint="eastAsia"/>
          <w:color w:val="000000"/>
          <w:sz w:val="24"/>
          <w:szCs w:val="24"/>
        </w:rPr>
        <w:t>东方财富</w:t>
      </w:r>
      <w:r>
        <w:rPr>
          <w:rFonts w:ascii="宋体" w:hAnsi="宋体" w:hint="eastAsia"/>
          <w:color w:val="000000"/>
          <w:sz w:val="24"/>
          <w:szCs w:val="24"/>
        </w:rPr>
        <w:t>为代销机构。即日起，投资者可通过</w:t>
      </w:r>
      <w:r w:rsidR="0063101F">
        <w:rPr>
          <w:rFonts w:ascii="宋体" w:hAnsi="宋体" w:hint="eastAsia"/>
          <w:color w:val="000000"/>
          <w:sz w:val="24"/>
          <w:szCs w:val="24"/>
        </w:rPr>
        <w:t>东方财富</w:t>
      </w:r>
      <w:r>
        <w:rPr>
          <w:rFonts w:ascii="宋体" w:hAnsi="宋体" w:hint="eastAsia"/>
          <w:color w:val="000000"/>
          <w:sz w:val="24"/>
          <w:szCs w:val="24"/>
        </w:rPr>
        <w:t>办理开户业务以及上述基金的申购、赎回业务（仅限前端收费模式）。具体的业务流程、办理时间和办理方式以</w:t>
      </w:r>
      <w:r w:rsidR="0063101F">
        <w:rPr>
          <w:rFonts w:ascii="宋体" w:hAnsi="宋体" w:hint="eastAsia"/>
          <w:color w:val="000000"/>
          <w:sz w:val="24"/>
          <w:szCs w:val="24"/>
        </w:rPr>
        <w:t>东方财富</w:t>
      </w:r>
      <w:r>
        <w:rPr>
          <w:rFonts w:ascii="宋体" w:hAnsi="宋体" w:hint="eastAsia"/>
          <w:color w:val="000000"/>
          <w:sz w:val="24"/>
          <w:szCs w:val="24"/>
        </w:rPr>
        <w:t>的规定为准。</w:t>
      </w:r>
    </w:p>
    <w:p w:rsidR="00F81E54" w:rsidRDefault="00F81E54" w:rsidP="0063101F">
      <w:pPr>
        <w:spacing w:line="360" w:lineRule="auto"/>
        <w:ind w:firstLineChars="200" w:firstLine="480"/>
        <w:rPr>
          <w:rFonts w:ascii="宋体" w:hAnsi="宋体"/>
          <w:color w:val="000000"/>
          <w:sz w:val="24"/>
          <w:szCs w:val="24"/>
        </w:rPr>
      </w:pPr>
      <w:r w:rsidRPr="00F81E54">
        <w:rPr>
          <w:rFonts w:ascii="宋体" w:hAnsi="宋体" w:hint="eastAsia"/>
          <w:color w:val="000000"/>
          <w:sz w:val="24"/>
          <w:szCs w:val="24"/>
        </w:rPr>
        <w:t>其中，富国目标收益一年</w:t>
      </w:r>
      <w:proofErr w:type="gramStart"/>
      <w:r w:rsidRPr="00F81E54">
        <w:rPr>
          <w:rFonts w:ascii="宋体" w:hAnsi="宋体" w:hint="eastAsia"/>
          <w:color w:val="000000"/>
          <w:sz w:val="24"/>
          <w:szCs w:val="24"/>
        </w:rPr>
        <w:t>期纯债</w:t>
      </w:r>
      <w:proofErr w:type="gramEnd"/>
      <w:r w:rsidRPr="00F81E54">
        <w:rPr>
          <w:rFonts w:ascii="宋体" w:hAnsi="宋体" w:hint="eastAsia"/>
          <w:color w:val="000000"/>
          <w:sz w:val="24"/>
          <w:szCs w:val="24"/>
        </w:rPr>
        <w:t>债券型证券投资基金、富国目标收益两年</w:t>
      </w:r>
      <w:proofErr w:type="gramStart"/>
      <w:r w:rsidRPr="00F81E54">
        <w:rPr>
          <w:rFonts w:ascii="宋体" w:hAnsi="宋体" w:hint="eastAsia"/>
          <w:color w:val="000000"/>
          <w:sz w:val="24"/>
          <w:szCs w:val="24"/>
        </w:rPr>
        <w:t>期</w:t>
      </w:r>
      <w:r w:rsidRPr="00F81E54">
        <w:rPr>
          <w:rFonts w:ascii="宋体" w:hAnsi="宋体" w:hint="eastAsia"/>
          <w:color w:val="000000"/>
          <w:sz w:val="24"/>
          <w:szCs w:val="24"/>
        </w:rPr>
        <w:lastRenderedPageBreak/>
        <w:t>纯债</w:t>
      </w:r>
      <w:proofErr w:type="gramEnd"/>
      <w:r w:rsidRPr="00F81E54">
        <w:rPr>
          <w:rFonts w:ascii="宋体" w:hAnsi="宋体" w:hint="eastAsia"/>
          <w:color w:val="000000"/>
          <w:sz w:val="24"/>
          <w:szCs w:val="24"/>
        </w:rPr>
        <w:t>债券型证券投资基金、富国目标齐利一年</w:t>
      </w:r>
      <w:proofErr w:type="gramStart"/>
      <w:r w:rsidRPr="00F81E54">
        <w:rPr>
          <w:rFonts w:ascii="宋体" w:hAnsi="宋体" w:hint="eastAsia"/>
          <w:color w:val="000000"/>
          <w:sz w:val="24"/>
          <w:szCs w:val="24"/>
        </w:rPr>
        <w:t>期纯债</w:t>
      </w:r>
      <w:proofErr w:type="gramEnd"/>
      <w:r w:rsidRPr="00F81E54">
        <w:rPr>
          <w:rFonts w:ascii="宋体" w:hAnsi="宋体" w:hint="eastAsia"/>
          <w:color w:val="000000"/>
          <w:sz w:val="24"/>
          <w:szCs w:val="24"/>
        </w:rPr>
        <w:t>债券型证券投资基金、</w:t>
      </w:r>
      <w:proofErr w:type="gramStart"/>
      <w:r w:rsidRPr="00F81E54">
        <w:rPr>
          <w:rFonts w:ascii="宋体" w:hAnsi="宋体" w:hint="eastAsia"/>
          <w:color w:val="000000"/>
          <w:sz w:val="24"/>
          <w:szCs w:val="24"/>
        </w:rPr>
        <w:t>富国新天锋定期</w:t>
      </w:r>
      <w:proofErr w:type="gramEnd"/>
      <w:r w:rsidRPr="00F81E54">
        <w:rPr>
          <w:rFonts w:ascii="宋体" w:hAnsi="宋体" w:hint="eastAsia"/>
          <w:color w:val="000000"/>
          <w:sz w:val="24"/>
          <w:szCs w:val="24"/>
        </w:rPr>
        <w:t>开放债券型证券投资基金、富国强回报定期开放债券型证券投资基金、富国绝对收益多策略定期开放混合型发起式证券投资基金、</w:t>
      </w:r>
      <w:r w:rsidR="00AF7F2B" w:rsidRPr="00F81E54">
        <w:rPr>
          <w:rFonts w:ascii="宋体" w:hAnsi="宋体" w:hint="eastAsia"/>
          <w:color w:val="000000"/>
          <w:sz w:val="24"/>
          <w:szCs w:val="24"/>
        </w:rPr>
        <w:t>富国汇利回报两年定期开放债券型证券投资基金</w:t>
      </w:r>
      <w:r>
        <w:rPr>
          <w:rFonts w:ascii="宋体" w:hAnsi="宋体" w:hint="eastAsia"/>
          <w:color w:val="000000"/>
          <w:sz w:val="24"/>
          <w:szCs w:val="24"/>
        </w:rPr>
        <w:t>、</w:t>
      </w:r>
      <w:r w:rsidR="00FB5A00" w:rsidRPr="00FB5A00">
        <w:rPr>
          <w:rFonts w:ascii="宋体" w:hAnsi="宋体" w:hint="eastAsia"/>
          <w:color w:val="000000"/>
          <w:sz w:val="24"/>
          <w:szCs w:val="24"/>
        </w:rPr>
        <w:t>富国嘉利稳健配置定期开放混合型证券投资基金</w:t>
      </w:r>
      <w:r w:rsidR="00FB5A00">
        <w:rPr>
          <w:rFonts w:ascii="宋体" w:hAnsi="宋体" w:hint="eastAsia"/>
          <w:color w:val="000000"/>
          <w:sz w:val="24"/>
          <w:szCs w:val="24"/>
        </w:rPr>
        <w:t>、</w:t>
      </w:r>
      <w:r w:rsidR="00FB5A00" w:rsidRPr="00FB5A00">
        <w:rPr>
          <w:rFonts w:ascii="宋体" w:hAnsi="宋体" w:hint="eastAsia"/>
          <w:color w:val="000000"/>
          <w:sz w:val="24"/>
          <w:szCs w:val="24"/>
        </w:rPr>
        <w:t>富国新优选灵活配置定期开放混合型证券投资基金、</w:t>
      </w:r>
      <w:r w:rsidR="00FB5A00">
        <w:rPr>
          <w:rFonts w:ascii="宋体" w:hAnsi="宋体" w:hint="eastAsia"/>
          <w:color w:val="000000"/>
          <w:sz w:val="24"/>
          <w:szCs w:val="24"/>
        </w:rPr>
        <w:t>富国金利定期开放混合型证券投资基金</w:t>
      </w:r>
      <w:r w:rsidR="0063101F">
        <w:rPr>
          <w:rFonts w:ascii="宋体" w:hAnsi="宋体" w:hint="eastAsia"/>
          <w:color w:val="000000"/>
          <w:sz w:val="24"/>
          <w:szCs w:val="24"/>
        </w:rPr>
        <w:t>、</w:t>
      </w:r>
      <w:r w:rsidR="0063101F" w:rsidRPr="0063101F">
        <w:rPr>
          <w:rFonts w:ascii="宋体" w:hAnsi="宋体" w:hint="eastAsia"/>
          <w:color w:val="000000"/>
          <w:sz w:val="24"/>
          <w:szCs w:val="24"/>
        </w:rPr>
        <w:t>富国</w:t>
      </w:r>
      <w:proofErr w:type="gramStart"/>
      <w:r w:rsidR="0063101F" w:rsidRPr="0063101F">
        <w:rPr>
          <w:rFonts w:ascii="宋体" w:hAnsi="宋体" w:hint="eastAsia"/>
          <w:color w:val="000000"/>
          <w:sz w:val="24"/>
          <w:szCs w:val="24"/>
        </w:rPr>
        <w:t>绿色纯债一年</w:t>
      </w:r>
      <w:proofErr w:type="gramEnd"/>
      <w:r w:rsidR="0063101F" w:rsidRPr="0063101F">
        <w:rPr>
          <w:rFonts w:ascii="宋体" w:hAnsi="宋体" w:hint="eastAsia"/>
          <w:color w:val="000000"/>
          <w:sz w:val="24"/>
          <w:szCs w:val="24"/>
        </w:rPr>
        <w:t>定期开放债券型证券投资基金</w:t>
      </w:r>
      <w:r w:rsidR="0063101F">
        <w:rPr>
          <w:rFonts w:ascii="宋体" w:hAnsi="宋体" w:hint="eastAsia"/>
          <w:color w:val="000000"/>
          <w:sz w:val="24"/>
          <w:szCs w:val="24"/>
        </w:rPr>
        <w:t>、</w:t>
      </w:r>
      <w:r w:rsidR="0063101F" w:rsidRPr="0063101F">
        <w:rPr>
          <w:rFonts w:ascii="宋体" w:hAnsi="宋体" w:hint="eastAsia"/>
          <w:color w:val="000000"/>
          <w:sz w:val="24"/>
          <w:szCs w:val="24"/>
        </w:rPr>
        <w:t>富国成长优选三年定期开放灵活配置混合型证券投资基金</w:t>
      </w:r>
      <w:r w:rsidRPr="00F81E54">
        <w:rPr>
          <w:rFonts w:ascii="宋体" w:hAnsi="宋体" w:hint="eastAsia"/>
          <w:color w:val="000000"/>
          <w:sz w:val="24"/>
          <w:szCs w:val="24"/>
        </w:rPr>
        <w:t>为定期开放类产品，具体开放申购、赎回时间请投资者留意届时公告。</w:t>
      </w:r>
    </w:p>
    <w:p w:rsidR="00103C8B" w:rsidRDefault="00103C8B" w:rsidP="00F81E54">
      <w:pPr>
        <w:spacing w:line="360" w:lineRule="auto"/>
        <w:ind w:firstLineChars="200" w:firstLine="480"/>
        <w:rPr>
          <w:rFonts w:ascii="宋体" w:hAnsi="宋体"/>
          <w:color w:val="000000"/>
          <w:sz w:val="24"/>
          <w:szCs w:val="24"/>
        </w:rPr>
      </w:pPr>
    </w:p>
    <w:p w:rsidR="00103C8B" w:rsidRDefault="00103C8B" w:rsidP="00103C8B">
      <w:pPr>
        <w:spacing w:line="360" w:lineRule="auto"/>
        <w:rPr>
          <w:rFonts w:ascii="宋体" w:hAnsi="宋体"/>
          <w:b/>
          <w:color w:val="000000"/>
          <w:sz w:val="24"/>
          <w:szCs w:val="24"/>
        </w:rPr>
      </w:pPr>
      <w:r>
        <w:rPr>
          <w:rFonts w:ascii="宋体" w:hAnsi="宋体" w:hint="eastAsia"/>
          <w:b/>
          <w:color w:val="000000"/>
          <w:sz w:val="24"/>
          <w:szCs w:val="24"/>
        </w:rPr>
        <w:t>二、申购费率优惠业务</w:t>
      </w:r>
    </w:p>
    <w:p w:rsidR="00103C8B" w:rsidRDefault="00103C8B" w:rsidP="00103C8B">
      <w:pPr>
        <w:spacing w:line="360" w:lineRule="auto"/>
        <w:ind w:firstLineChars="200" w:firstLine="480"/>
        <w:rPr>
          <w:rFonts w:ascii="宋体" w:hAnsi="宋体"/>
          <w:color w:val="000000"/>
          <w:sz w:val="24"/>
          <w:szCs w:val="24"/>
        </w:rPr>
      </w:pPr>
      <w:r>
        <w:rPr>
          <w:rFonts w:ascii="宋体" w:hAnsi="宋体" w:hint="eastAsia"/>
          <w:color w:val="000000"/>
          <w:sz w:val="24"/>
          <w:szCs w:val="24"/>
        </w:rPr>
        <w:t>自2018年11月27日起（具体截止日期以东方财富公告为准），投资者通过</w:t>
      </w:r>
      <w:proofErr w:type="gramStart"/>
      <w:r>
        <w:rPr>
          <w:rFonts w:ascii="宋体" w:hAnsi="宋体" w:hint="eastAsia"/>
          <w:color w:val="000000"/>
          <w:sz w:val="24"/>
          <w:szCs w:val="24"/>
        </w:rPr>
        <w:t>大连网金申购</w:t>
      </w:r>
      <w:proofErr w:type="gramEnd"/>
      <w:r>
        <w:rPr>
          <w:rFonts w:ascii="宋体" w:hAnsi="宋体" w:hint="eastAsia"/>
          <w:color w:val="000000"/>
          <w:sz w:val="24"/>
          <w:szCs w:val="24"/>
        </w:rPr>
        <w:t>上述基金，其申购费率（仅限前端收费模式）实行最低为1折的优惠，各基金具体申购费率优惠详情以</w:t>
      </w:r>
      <w:r w:rsidR="004A0ABF">
        <w:rPr>
          <w:rFonts w:ascii="宋体" w:hAnsi="宋体" w:hint="eastAsia"/>
          <w:color w:val="000000"/>
          <w:sz w:val="24"/>
          <w:szCs w:val="24"/>
        </w:rPr>
        <w:t>东方财富</w:t>
      </w:r>
      <w:r>
        <w:rPr>
          <w:rFonts w:ascii="宋体" w:hAnsi="宋体" w:hint="eastAsia"/>
          <w:color w:val="000000"/>
          <w:sz w:val="24"/>
          <w:szCs w:val="24"/>
        </w:rPr>
        <w:t>公告为准。各基金原申购费率以各基金《基金合同》、《招募说明书》及相关最新公告公布的费率为准。</w:t>
      </w:r>
    </w:p>
    <w:p w:rsidR="00103C8B" w:rsidRPr="00F81E54" w:rsidRDefault="00103C8B" w:rsidP="004A0ABF">
      <w:pPr>
        <w:spacing w:line="360" w:lineRule="auto"/>
        <w:rPr>
          <w:rFonts w:ascii="宋体" w:hAnsi="宋体"/>
          <w:color w:val="000000"/>
          <w:sz w:val="24"/>
          <w:szCs w:val="24"/>
        </w:rPr>
      </w:pPr>
    </w:p>
    <w:p w:rsidR="00FB5A00" w:rsidRDefault="00FB5A00" w:rsidP="00B60894">
      <w:pPr>
        <w:spacing w:line="360" w:lineRule="auto"/>
        <w:rPr>
          <w:rFonts w:ascii="宋体" w:hAnsi="宋体"/>
          <w:color w:val="000000"/>
          <w:sz w:val="24"/>
          <w:szCs w:val="24"/>
        </w:rPr>
      </w:pPr>
    </w:p>
    <w:p w:rsidR="00F81E54" w:rsidRPr="00F81E54" w:rsidRDefault="00103C8B" w:rsidP="00F81E54">
      <w:pPr>
        <w:spacing w:line="360" w:lineRule="auto"/>
        <w:ind w:firstLineChars="200" w:firstLine="482"/>
        <w:rPr>
          <w:rFonts w:ascii="宋体" w:hAnsi="宋体"/>
          <w:b/>
          <w:color w:val="000000"/>
          <w:sz w:val="24"/>
          <w:szCs w:val="24"/>
        </w:rPr>
      </w:pPr>
      <w:r>
        <w:rPr>
          <w:rFonts w:ascii="宋体" w:hAnsi="宋体" w:hint="eastAsia"/>
          <w:b/>
          <w:color w:val="000000"/>
          <w:sz w:val="24"/>
          <w:szCs w:val="24"/>
        </w:rPr>
        <w:t>三</w:t>
      </w:r>
      <w:r w:rsidR="00F81E54" w:rsidRPr="00F81E54">
        <w:rPr>
          <w:rFonts w:ascii="宋体" w:hAnsi="宋体" w:hint="eastAsia"/>
          <w:b/>
          <w:color w:val="000000"/>
          <w:sz w:val="24"/>
          <w:szCs w:val="24"/>
        </w:rPr>
        <w:t>、开通基金转换业务</w:t>
      </w:r>
    </w:p>
    <w:p w:rsidR="00F81E54" w:rsidRDefault="00F81E54" w:rsidP="00124EC3">
      <w:pPr>
        <w:spacing w:line="360" w:lineRule="auto"/>
        <w:ind w:firstLineChars="150" w:firstLine="360"/>
        <w:contextualSpacing/>
        <w:rPr>
          <w:rFonts w:ascii="宋体" w:hAnsi="宋体"/>
          <w:color w:val="000000"/>
          <w:sz w:val="24"/>
        </w:rPr>
      </w:pPr>
      <w:r>
        <w:rPr>
          <w:rFonts w:ascii="宋体" w:hAnsi="宋体" w:hint="eastAsia"/>
          <w:color w:val="000000"/>
          <w:sz w:val="24"/>
          <w:szCs w:val="24"/>
        </w:rPr>
        <w:t>自</w:t>
      </w:r>
      <w:r w:rsidR="00103C8B">
        <w:rPr>
          <w:rFonts w:ascii="宋体" w:hAnsi="宋体" w:hint="eastAsia"/>
          <w:color w:val="000000"/>
          <w:sz w:val="24"/>
          <w:szCs w:val="24"/>
        </w:rPr>
        <w:t>2018年11</w:t>
      </w:r>
      <w:r w:rsidR="00F26709">
        <w:rPr>
          <w:rFonts w:ascii="宋体" w:hAnsi="宋体" w:hint="eastAsia"/>
          <w:color w:val="000000"/>
          <w:sz w:val="24"/>
          <w:szCs w:val="24"/>
        </w:rPr>
        <w:t>月</w:t>
      </w:r>
      <w:r w:rsidR="00103C8B">
        <w:rPr>
          <w:rFonts w:ascii="宋体" w:hAnsi="宋体" w:hint="eastAsia"/>
          <w:color w:val="000000"/>
          <w:sz w:val="24"/>
          <w:szCs w:val="24"/>
        </w:rPr>
        <w:t>27</w:t>
      </w:r>
      <w:r>
        <w:rPr>
          <w:rFonts w:ascii="宋体" w:hAnsi="宋体" w:hint="eastAsia"/>
          <w:color w:val="000000"/>
          <w:sz w:val="24"/>
          <w:szCs w:val="24"/>
        </w:rPr>
        <w:t>日起，投资者可通过</w:t>
      </w:r>
      <w:r w:rsidR="00103C8B">
        <w:rPr>
          <w:rFonts w:ascii="宋体" w:hAnsi="宋体" w:hint="eastAsia"/>
          <w:color w:val="000000"/>
          <w:sz w:val="24"/>
          <w:szCs w:val="24"/>
        </w:rPr>
        <w:t>东方财富</w:t>
      </w:r>
      <w:r>
        <w:rPr>
          <w:rFonts w:ascii="宋体" w:hAnsi="宋体" w:hint="eastAsia"/>
          <w:color w:val="000000"/>
          <w:sz w:val="24"/>
          <w:szCs w:val="24"/>
        </w:rPr>
        <w:t>办理上述基金</w:t>
      </w:r>
      <w:r w:rsidR="00E05C0F">
        <w:rPr>
          <w:rFonts w:ascii="宋体" w:hAnsi="宋体" w:hint="eastAsia"/>
          <w:color w:val="000000"/>
          <w:sz w:val="24"/>
          <w:szCs w:val="24"/>
        </w:rPr>
        <w:t>(</w:t>
      </w:r>
      <w:r w:rsidR="00FB5A00" w:rsidRPr="00FB5A00">
        <w:rPr>
          <w:rFonts w:ascii="宋体" w:hAnsi="宋体" w:hint="eastAsia"/>
          <w:color w:val="000000"/>
          <w:sz w:val="24"/>
          <w:szCs w:val="24"/>
        </w:rPr>
        <w:t>富国目标收益一年</w:t>
      </w:r>
      <w:proofErr w:type="gramStart"/>
      <w:r w:rsidR="00FB5A00" w:rsidRPr="00FB5A00">
        <w:rPr>
          <w:rFonts w:ascii="宋体" w:hAnsi="宋体" w:hint="eastAsia"/>
          <w:color w:val="000000"/>
          <w:sz w:val="24"/>
          <w:szCs w:val="24"/>
        </w:rPr>
        <w:t>期纯债</w:t>
      </w:r>
      <w:proofErr w:type="gramEnd"/>
      <w:r w:rsidR="00FB5A00" w:rsidRPr="00FB5A00">
        <w:rPr>
          <w:rFonts w:ascii="宋体" w:hAnsi="宋体" w:hint="eastAsia"/>
          <w:color w:val="000000"/>
          <w:sz w:val="24"/>
          <w:szCs w:val="24"/>
        </w:rPr>
        <w:t>债券型证券投资基金、富国目标收益两年</w:t>
      </w:r>
      <w:proofErr w:type="gramStart"/>
      <w:r w:rsidR="00FB5A00" w:rsidRPr="00FB5A00">
        <w:rPr>
          <w:rFonts w:ascii="宋体" w:hAnsi="宋体" w:hint="eastAsia"/>
          <w:color w:val="000000"/>
          <w:sz w:val="24"/>
          <w:szCs w:val="24"/>
        </w:rPr>
        <w:t>期纯债</w:t>
      </w:r>
      <w:proofErr w:type="gramEnd"/>
      <w:r w:rsidR="00FB5A00" w:rsidRPr="00FB5A00">
        <w:rPr>
          <w:rFonts w:ascii="宋体" w:hAnsi="宋体" w:hint="eastAsia"/>
          <w:color w:val="000000"/>
          <w:sz w:val="24"/>
          <w:szCs w:val="24"/>
        </w:rPr>
        <w:t>债券型证券投资基金、富国目标齐利一年</w:t>
      </w:r>
      <w:proofErr w:type="gramStart"/>
      <w:r w:rsidR="00FB5A00" w:rsidRPr="00FB5A00">
        <w:rPr>
          <w:rFonts w:ascii="宋体" w:hAnsi="宋体" w:hint="eastAsia"/>
          <w:color w:val="000000"/>
          <w:sz w:val="24"/>
          <w:szCs w:val="24"/>
        </w:rPr>
        <w:t>期纯债</w:t>
      </w:r>
      <w:proofErr w:type="gramEnd"/>
      <w:r w:rsidR="00FB5A00" w:rsidRPr="00FB5A00">
        <w:rPr>
          <w:rFonts w:ascii="宋体" w:hAnsi="宋体" w:hint="eastAsia"/>
          <w:color w:val="000000"/>
          <w:sz w:val="24"/>
          <w:szCs w:val="24"/>
        </w:rPr>
        <w:t>债券型证券投资基金、</w:t>
      </w:r>
      <w:proofErr w:type="gramStart"/>
      <w:r w:rsidR="00FB5A00" w:rsidRPr="00FB5A00">
        <w:rPr>
          <w:rFonts w:ascii="宋体" w:hAnsi="宋体" w:hint="eastAsia"/>
          <w:color w:val="000000"/>
          <w:sz w:val="24"/>
          <w:szCs w:val="24"/>
        </w:rPr>
        <w:t>富国新天锋定期</w:t>
      </w:r>
      <w:proofErr w:type="gramEnd"/>
      <w:r w:rsidR="00FB5A00" w:rsidRPr="00FB5A00">
        <w:rPr>
          <w:rFonts w:ascii="宋体" w:hAnsi="宋体" w:hint="eastAsia"/>
          <w:color w:val="000000"/>
          <w:sz w:val="24"/>
          <w:szCs w:val="24"/>
        </w:rPr>
        <w:t>开放债券型证券投资基金、富国强回报定期开放债券型证券投资基金、富国绝对收益多策略定期开放混合型发起式证券投资基金、</w:t>
      </w:r>
      <w:r w:rsidR="004C6E5C" w:rsidRPr="00F81E54">
        <w:rPr>
          <w:rFonts w:ascii="宋体" w:hAnsi="宋体" w:hint="eastAsia"/>
          <w:color w:val="000000"/>
          <w:sz w:val="24"/>
          <w:szCs w:val="24"/>
        </w:rPr>
        <w:t>富国汇利回报两年定期开放债券型证券投资基金</w:t>
      </w:r>
      <w:r w:rsidR="00FB5A00" w:rsidRPr="00FB5A00">
        <w:rPr>
          <w:rFonts w:ascii="宋体" w:hAnsi="宋体" w:hint="eastAsia"/>
          <w:color w:val="000000"/>
          <w:sz w:val="24"/>
          <w:szCs w:val="24"/>
        </w:rPr>
        <w:t>、富国嘉利稳健配置定期开放混合型证券投资基金、富国新优选灵活配置定期开放混合型证券投资基金、富国金利定期开放混合型证券投资基金</w:t>
      </w:r>
      <w:r w:rsidR="00FB5A00">
        <w:rPr>
          <w:rFonts w:ascii="宋体" w:hAnsi="宋体" w:hint="eastAsia"/>
          <w:color w:val="000000"/>
          <w:sz w:val="24"/>
          <w:szCs w:val="24"/>
        </w:rPr>
        <w:t>、</w:t>
      </w:r>
      <w:r w:rsidR="004A0ABF" w:rsidRPr="004A0ABF">
        <w:rPr>
          <w:rFonts w:ascii="宋体" w:hAnsi="宋体" w:hint="eastAsia"/>
          <w:color w:val="000000"/>
          <w:sz w:val="24"/>
          <w:szCs w:val="24"/>
        </w:rPr>
        <w:t>富国</w:t>
      </w:r>
      <w:proofErr w:type="gramStart"/>
      <w:r w:rsidR="004A0ABF" w:rsidRPr="004A0ABF">
        <w:rPr>
          <w:rFonts w:ascii="宋体" w:hAnsi="宋体" w:hint="eastAsia"/>
          <w:color w:val="000000"/>
          <w:sz w:val="24"/>
          <w:szCs w:val="24"/>
        </w:rPr>
        <w:t>绿色纯债一年</w:t>
      </w:r>
      <w:proofErr w:type="gramEnd"/>
      <w:r w:rsidR="004A0ABF" w:rsidRPr="004A0ABF">
        <w:rPr>
          <w:rFonts w:ascii="宋体" w:hAnsi="宋体" w:hint="eastAsia"/>
          <w:color w:val="000000"/>
          <w:sz w:val="24"/>
          <w:szCs w:val="24"/>
        </w:rPr>
        <w:t>定期开放债券型证券投资基金、富国成长优选三年定期开放灵活配置混合型证券投资基金、</w:t>
      </w:r>
      <w:r w:rsidR="00FB5A00" w:rsidRPr="00FB5A00">
        <w:rPr>
          <w:rFonts w:ascii="宋体" w:hAnsi="宋体" w:hint="eastAsia"/>
          <w:color w:val="000000"/>
          <w:sz w:val="24"/>
          <w:szCs w:val="24"/>
        </w:rPr>
        <w:t>富国天</w:t>
      </w:r>
      <w:proofErr w:type="gramStart"/>
      <w:r w:rsidR="00FB5A00" w:rsidRPr="00FB5A00">
        <w:rPr>
          <w:rFonts w:ascii="宋体" w:hAnsi="宋体" w:hint="eastAsia"/>
          <w:color w:val="000000"/>
          <w:sz w:val="24"/>
          <w:szCs w:val="24"/>
        </w:rPr>
        <w:t>博创新</w:t>
      </w:r>
      <w:proofErr w:type="gramEnd"/>
      <w:r w:rsidR="00FB5A00" w:rsidRPr="00FB5A00">
        <w:rPr>
          <w:rFonts w:ascii="宋体" w:hAnsi="宋体" w:hint="eastAsia"/>
          <w:color w:val="000000"/>
          <w:sz w:val="24"/>
          <w:szCs w:val="24"/>
        </w:rPr>
        <w:t>主题混合型证券投资基金、</w:t>
      </w:r>
      <w:r w:rsidR="00FB5A00" w:rsidRPr="00F81E54">
        <w:rPr>
          <w:rFonts w:ascii="宋体" w:hAnsi="宋体" w:hint="eastAsia"/>
          <w:color w:val="000000"/>
          <w:sz w:val="24"/>
          <w:szCs w:val="24"/>
        </w:rPr>
        <w:t>富国沪港</w:t>
      </w:r>
      <w:proofErr w:type="gramStart"/>
      <w:r w:rsidR="00FB5A00" w:rsidRPr="00F81E54">
        <w:rPr>
          <w:rFonts w:ascii="宋体" w:hAnsi="宋体" w:hint="eastAsia"/>
          <w:color w:val="000000"/>
          <w:sz w:val="24"/>
          <w:szCs w:val="24"/>
        </w:rPr>
        <w:t>深价值</w:t>
      </w:r>
      <w:proofErr w:type="gramEnd"/>
      <w:r w:rsidR="00FB5A00" w:rsidRPr="00F81E54">
        <w:rPr>
          <w:rFonts w:ascii="宋体" w:hAnsi="宋体" w:hint="eastAsia"/>
          <w:color w:val="000000"/>
          <w:sz w:val="24"/>
          <w:szCs w:val="24"/>
        </w:rPr>
        <w:t>精选灵活配置混合型证券投资基金、富国研究优选沪港深灵活配置混合型证券投资基金、</w:t>
      </w:r>
      <w:r w:rsidR="00FB5A00" w:rsidRPr="00FB5A00">
        <w:rPr>
          <w:rFonts w:ascii="宋体" w:hAnsi="宋体" w:hint="eastAsia"/>
          <w:color w:val="000000"/>
          <w:sz w:val="24"/>
          <w:szCs w:val="24"/>
        </w:rPr>
        <w:t>富国消费主题混合型证券投资基金、富国全球债券证券投资基金、富国全球科技互联网股票型证券投资基金（QDII）、</w:t>
      </w:r>
      <w:r w:rsidR="000E7E5D" w:rsidRPr="00F81E54">
        <w:rPr>
          <w:rFonts w:ascii="宋体" w:hAnsi="宋体" w:hint="eastAsia"/>
          <w:color w:val="000000"/>
          <w:sz w:val="24"/>
          <w:szCs w:val="24"/>
        </w:rPr>
        <w:t>富国中国中小盘（香港上市）混</w:t>
      </w:r>
      <w:r w:rsidR="000E7E5D" w:rsidRPr="00F81E54">
        <w:rPr>
          <w:rFonts w:ascii="宋体" w:hAnsi="宋体" w:hint="eastAsia"/>
          <w:color w:val="000000"/>
          <w:sz w:val="24"/>
          <w:szCs w:val="24"/>
        </w:rPr>
        <w:lastRenderedPageBreak/>
        <w:t>合型证券投资基金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富国港股通量化精选股票型证券投资基金</w:t>
      </w:r>
      <w:r w:rsidR="00D35484">
        <w:rPr>
          <w:rFonts w:ascii="宋体" w:hAnsi="宋体" w:hint="eastAsia"/>
          <w:color w:val="000000"/>
          <w:sz w:val="24"/>
          <w:szCs w:val="24"/>
        </w:rPr>
        <w:t>、</w:t>
      </w:r>
      <w:r w:rsidR="00D35484" w:rsidRPr="00D35484">
        <w:rPr>
          <w:rFonts w:ascii="宋体" w:hAnsi="宋体" w:hint="eastAsia"/>
          <w:color w:val="000000"/>
          <w:sz w:val="24"/>
          <w:szCs w:val="24"/>
        </w:rPr>
        <w:t>富国沪港</w:t>
      </w:r>
      <w:proofErr w:type="gramStart"/>
      <w:r w:rsidR="00D35484" w:rsidRPr="00D35484">
        <w:rPr>
          <w:rFonts w:ascii="宋体" w:hAnsi="宋体" w:hint="eastAsia"/>
          <w:color w:val="000000"/>
          <w:sz w:val="24"/>
          <w:szCs w:val="24"/>
        </w:rPr>
        <w:t>深行业</w:t>
      </w:r>
      <w:proofErr w:type="gramEnd"/>
      <w:r w:rsidR="00D35484" w:rsidRPr="00D35484">
        <w:rPr>
          <w:rFonts w:ascii="宋体" w:hAnsi="宋体" w:hint="eastAsia"/>
          <w:color w:val="000000"/>
          <w:sz w:val="24"/>
          <w:szCs w:val="24"/>
        </w:rPr>
        <w:t>精选灵活配置混合型发起式证券投资基金、富国沪港</w:t>
      </w:r>
      <w:proofErr w:type="gramStart"/>
      <w:r w:rsidR="00D35484" w:rsidRPr="00D35484">
        <w:rPr>
          <w:rFonts w:ascii="宋体" w:hAnsi="宋体" w:hint="eastAsia"/>
          <w:color w:val="000000"/>
          <w:sz w:val="24"/>
          <w:szCs w:val="24"/>
        </w:rPr>
        <w:t>深业绩</w:t>
      </w:r>
      <w:proofErr w:type="gramEnd"/>
      <w:r w:rsidR="00D35484" w:rsidRPr="00D35484">
        <w:rPr>
          <w:rFonts w:ascii="宋体" w:hAnsi="宋体" w:hint="eastAsia"/>
          <w:color w:val="000000"/>
          <w:sz w:val="24"/>
          <w:szCs w:val="24"/>
        </w:rPr>
        <w:t>驱动混合型证券投资基金</w:t>
      </w:r>
      <w:r w:rsidR="00FB5A00">
        <w:rPr>
          <w:rFonts w:ascii="宋体" w:hAnsi="宋体" w:hint="eastAsia"/>
          <w:color w:val="000000"/>
          <w:sz w:val="24"/>
          <w:szCs w:val="24"/>
        </w:rPr>
        <w:t>除外</w:t>
      </w:r>
      <w:r w:rsidR="00E05C0F">
        <w:rPr>
          <w:rFonts w:ascii="宋体" w:hAnsi="宋体" w:hint="eastAsia"/>
          <w:color w:val="000000"/>
          <w:sz w:val="24"/>
          <w:szCs w:val="24"/>
        </w:rPr>
        <w:t>)</w:t>
      </w:r>
      <w:r>
        <w:rPr>
          <w:rFonts w:ascii="宋体" w:hAnsi="宋体" w:hint="eastAsia"/>
          <w:color w:val="000000"/>
          <w:sz w:val="24"/>
          <w:szCs w:val="24"/>
        </w:rPr>
        <w:t>的转换业务（仅限前端收费模式）。基金转换的业务规则请参见对应基金已开通转换业务的公告或更新的招募说明书。</w:t>
      </w:r>
    </w:p>
    <w:p w:rsidR="00F81E54" w:rsidRPr="00F81E54" w:rsidRDefault="00F81E54" w:rsidP="00FD6487">
      <w:pPr>
        <w:spacing w:line="360" w:lineRule="auto"/>
        <w:ind w:firstLineChars="200" w:firstLine="480"/>
        <w:contextualSpacing/>
        <w:rPr>
          <w:rFonts w:ascii="宋体" w:hAnsi="宋体"/>
          <w:color w:val="000000"/>
          <w:sz w:val="24"/>
        </w:rPr>
      </w:pPr>
    </w:p>
    <w:p w:rsidR="00AE7BEB" w:rsidRPr="005E4C84" w:rsidRDefault="00AE7BEB" w:rsidP="003D0CC6">
      <w:pPr>
        <w:spacing w:line="360" w:lineRule="auto"/>
        <w:ind w:firstLineChars="150" w:firstLine="360"/>
        <w:contextualSpacing/>
        <w:rPr>
          <w:rFonts w:ascii="宋体" w:hAnsi="宋体"/>
          <w:color w:val="000000"/>
          <w:sz w:val="24"/>
        </w:rPr>
      </w:pPr>
      <w:r w:rsidRPr="005E4C84">
        <w:rPr>
          <w:rFonts w:ascii="宋体" w:hAnsi="宋体" w:hint="eastAsia"/>
          <w:color w:val="000000"/>
          <w:sz w:val="24"/>
        </w:rPr>
        <w:t>投资者可以通过以下途径咨询有关情况：</w:t>
      </w:r>
    </w:p>
    <w:p w:rsidR="004A0ABF" w:rsidRPr="004A0ABF" w:rsidRDefault="004A0ABF" w:rsidP="004A0ABF">
      <w:pPr>
        <w:spacing w:line="360" w:lineRule="auto"/>
        <w:ind w:firstLineChars="150" w:firstLine="360"/>
        <w:contextualSpacing/>
        <w:rPr>
          <w:rFonts w:ascii="宋体" w:hAnsi="宋体"/>
          <w:color w:val="000000"/>
          <w:sz w:val="24"/>
        </w:rPr>
      </w:pPr>
      <w:r w:rsidRPr="004A0ABF">
        <w:rPr>
          <w:rFonts w:ascii="宋体" w:hAnsi="宋体" w:hint="eastAsia"/>
          <w:color w:val="000000"/>
          <w:sz w:val="24"/>
        </w:rPr>
        <w:t>西藏东方财富证券股份有限公司</w:t>
      </w:r>
    </w:p>
    <w:p w:rsidR="004A0ABF" w:rsidRPr="004A0ABF" w:rsidRDefault="004A0ABF" w:rsidP="004A0ABF">
      <w:pPr>
        <w:spacing w:line="360" w:lineRule="auto"/>
        <w:ind w:firstLineChars="150" w:firstLine="360"/>
        <w:contextualSpacing/>
        <w:rPr>
          <w:rFonts w:ascii="宋体" w:hAnsi="宋体"/>
          <w:color w:val="000000"/>
          <w:sz w:val="24"/>
        </w:rPr>
      </w:pPr>
      <w:r w:rsidRPr="004A0ABF">
        <w:rPr>
          <w:rFonts w:ascii="宋体" w:hAnsi="宋体" w:hint="eastAsia"/>
          <w:color w:val="000000"/>
          <w:sz w:val="24"/>
        </w:rPr>
        <w:t>客服电话： 95357</w:t>
      </w:r>
    </w:p>
    <w:p w:rsidR="00036EB4" w:rsidRPr="00036EB4" w:rsidRDefault="004A0ABF" w:rsidP="00036EB4">
      <w:pPr>
        <w:spacing w:line="360" w:lineRule="auto"/>
        <w:ind w:firstLineChars="150" w:firstLine="360"/>
        <w:contextualSpacing/>
        <w:rPr>
          <w:rFonts w:ascii="宋体" w:hAnsi="宋体"/>
          <w:color w:val="000000"/>
          <w:sz w:val="24"/>
        </w:rPr>
      </w:pPr>
      <w:r w:rsidRPr="004A0ABF">
        <w:rPr>
          <w:rFonts w:ascii="宋体" w:hAnsi="宋体" w:hint="eastAsia"/>
          <w:color w:val="000000"/>
          <w:sz w:val="24"/>
        </w:rPr>
        <w:t>公司网站：http://www.18.cn</w:t>
      </w:r>
    </w:p>
    <w:p w:rsidR="00AE7BEB" w:rsidRDefault="00AE7BEB" w:rsidP="00E20B9F">
      <w:pPr>
        <w:spacing w:line="360" w:lineRule="auto"/>
        <w:ind w:firstLineChars="150" w:firstLine="360"/>
        <w:contextualSpacing/>
        <w:rPr>
          <w:rFonts w:ascii="宋体" w:hAnsi="宋体"/>
          <w:color w:val="000000"/>
          <w:sz w:val="24"/>
        </w:rPr>
      </w:pPr>
      <w:r>
        <w:rPr>
          <w:rFonts w:ascii="宋体" w:hAnsi="宋体" w:hint="eastAsia"/>
          <w:color w:val="000000"/>
          <w:sz w:val="24"/>
        </w:rPr>
        <w:t>投资者</w:t>
      </w:r>
      <w:r w:rsidR="00D04196">
        <w:rPr>
          <w:rFonts w:ascii="宋体" w:hAnsi="宋体" w:hint="eastAsia"/>
          <w:color w:val="000000"/>
          <w:sz w:val="24"/>
        </w:rPr>
        <w:t>也</w:t>
      </w:r>
      <w:r>
        <w:rPr>
          <w:rFonts w:ascii="宋体" w:hAnsi="宋体" w:hint="eastAsia"/>
          <w:color w:val="000000"/>
          <w:sz w:val="24"/>
        </w:rPr>
        <w:t>可以通过以下方式联系富国基金管理有限公司进行咨询：</w:t>
      </w:r>
    </w:p>
    <w:p w:rsidR="00AE7BEB" w:rsidRDefault="00AE7BEB" w:rsidP="007C5B0D">
      <w:pPr>
        <w:spacing w:line="360" w:lineRule="auto"/>
        <w:ind w:firstLineChars="150" w:firstLine="360"/>
        <w:contextualSpacing/>
        <w:rPr>
          <w:rFonts w:ascii="宋体" w:hAnsi="宋体"/>
          <w:color w:val="000000"/>
          <w:sz w:val="24"/>
        </w:rPr>
      </w:pPr>
      <w:r>
        <w:rPr>
          <w:rFonts w:ascii="宋体" w:hAnsi="宋体" w:hint="eastAsia"/>
          <w:color w:val="000000"/>
          <w:sz w:val="24"/>
        </w:rPr>
        <w:t>客服电话：95105686，4008880688（全国统一，均免长途话费）</w:t>
      </w:r>
    </w:p>
    <w:p w:rsidR="00AE7BEB" w:rsidRPr="002B2121" w:rsidRDefault="00AE7BEB" w:rsidP="007C5B0D">
      <w:pPr>
        <w:spacing w:line="360" w:lineRule="auto"/>
        <w:ind w:firstLineChars="150" w:firstLine="360"/>
        <w:contextualSpacing/>
        <w:rPr>
          <w:rFonts w:ascii="宋体" w:hAnsi="宋体"/>
          <w:color w:val="000000"/>
          <w:sz w:val="24"/>
        </w:rPr>
      </w:pPr>
      <w:r w:rsidRPr="002B2121">
        <w:rPr>
          <w:rFonts w:ascii="宋体" w:hAnsi="宋体" w:hint="eastAsia"/>
          <w:color w:val="000000"/>
          <w:sz w:val="24"/>
        </w:rPr>
        <w:t>网址：</w:t>
      </w:r>
      <w:hyperlink r:id="rId8" w:history="1">
        <w:r w:rsidRPr="002B2121">
          <w:rPr>
            <w:rFonts w:ascii="宋体" w:hAnsi="宋体" w:hint="eastAsia"/>
            <w:color w:val="000000"/>
            <w:sz w:val="24"/>
          </w:rPr>
          <w:t>www.fullgoal.com.cn</w:t>
        </w:r>
      </w:hyperlink>
    </w:p>
    <w:p w:rsidR="006A109B" w:rsidRDefault="006A109B" w:rsidP="007C5B0D">
      <w:pPr>
        <w:spacing w:line="360" w:lineRule="auto"/>
        <w:ind w:firstLineChars="150" w:firstLine="360"/>
        <w:contextualSpacing/>
        <w:rPr>
          <w:rStyle w:val="a5"/>
          <w:rFonts w:ascii="宋体" w:hAnsi="宋体"/>
          <w:sz w:val="24"/>
        </w:rPr>
      </w:pPr>
    </w:p>
    <w:p w:rsidR="00AE7BEB" w:rsidRDefault="00AE7BEB" w:rsidP="007C5B0D">
      <w:pPr>
        <w:spacing w:line="360" w:lineRule="auto"/>
        <w:ind w:firstLineChars="150" w:firstLine="360"/>
        <w:contextualSpacing/>
        <w:outlineLvl w:val="0"/>
        <w:rPr>
          <w:rFonts w:ascii="宋体" w:hAnsi="宋体"/>
          <w:color w:val="000000"/>
          <w:sz w:val="24"/>
        </w:rPr>
      </w:pPr>
      <w:r>
        <w:rPr>
          <w:rFonts w:ascii="宋体" w:hAnsi="宋体" w:hint="eastAsia"/>
          <w:color w:val="000000"/>
          <w:sz w:val="24"/>
        </w:rPr>
        <w:t>风险提示：本公司承诺以诚实信用、勤勉尽责的原则管理和运用基金资产，但不保证基金一定盈利，也不保证最低收益。敬请投资者注意投资风险。投资者投资于</w:t>
      </w:r>
      <w:r w:rsidR="00A02789">
        <w:rPr>
          <w:rFonts w:ascii="宋体" w:hAnsi="宋体" w:hint="eastAsia"/>
          <w:color w:val="000000"/>
          <w:sz w:val="24"/>
        </w:rPr>
        <w:t>上述</w:t>
      </w:r>
      <w:r>
        <w:rPr>
          <w:rFonts w:ascii="宋体" w:hAnsi="宋体" w:hint="eastAsia"/>
          <w:color w:val="000000"/>
          <w:sz w:val="24"/>
        </w:rPr>
        <w:t>基金前应认真阅读基金的基金合同、招募说明书</w:t>
      </w:r>
      <w:r w:rsidR="00CA336D">
        <w:rPr>
          <w:rFonts w:ascii="宋体" w:hAnsi="宋体" w:hint="eastAsia"/>
          <w:color w:val="000000"/>
          <w:sz w:val="24"/>
        </w:rPr>
        <w:t>及相关公告</w:t>
      </w:r>
      <w:r>
        <w:rPr>
          <w:rFonts w:ascii="宋体" w:hAnsi="宋体" w:hint="eastAsia"/>
          <w:color w:val="000000"/>
          <w:sz w:val="24"/>
        </w:rPr>
        <w:t>。</w:t>
      </w:r>
    </w:p>
    <w:p w:rsidR="009C33D6" w:rsidRPr="009C33D6" w:rsidRDefault="009C33D6" w:rsidP="007C5B0D">
      <w:pPr>
        <w:spacing w:line="360" w:lineRule="auto"/>
        <w:ind w:firstLineChars="150" w:firstLine="360"/>
        <w:contextualSpacing/>
        <w:outlineLvl w:val="0"/>
        <w:rPr>
          <w:rFonts w:ascii="宋体" w:hAnsi="宋体"/>
          <w:color w:val="000000"/>
          <w:sz w:val="24"/>
        </w:rPr>
      </w:pPr>
    </w:p>
    <w:p w:rsidR="00AE7BEB" w:rsidRDefault="00AE7BEB" w:rsidP="00C645C9">
      <w:pPr>
        <w:spacing w:line="360" w:lineRule="auto"/>
        <w:ind w:firstLineChars="200" w:firstLine="480"/>
        <w:contextualSpacing/>
        <w:rPr>
          <w:rFonts w:ascii="宋体" w:hAnsi="宋体"/>
          <w:color w:val="000000"/>
          <w:sz w:val="24"/>
        </w:rPr>
      </w:pPr>
      <w:r>
        <w:rPr>
          <w:rFonts w:ascii="宋体" w:hAnsi="宋体" w:hint="eastAsia"/>
          <w:color w:val="000000"/>
          <w:sz w:val="24"/>
        </w:rPr>
        <w:t>本公告的解释权归</w:t>
      </w:r>
      <w:r w:rsidR="00A934B4">
        <w:rPr>
          <w:rFonts w:ascii="宋体" w:hAnsi="宋体" w:hint="eastAsia"/>
          <w:color w:val="000000"/>
          <w:sz w:val="24"/>
        </w:rPr>
        <w:t>本</w:t>
      </w:r>
      <w:r>
        <w:rPr>
          <w:rFonts w:ascii="宋体" w:hAnsi="宋体" w:hint="eastAsia"/>
          <w:color w:val="000000"/>
          <w:sz w:val="24"/>
        </w:rPr>
        <w:t>公司所有。</w:t>
      </w:r>
    </w:p>
    <w:p w:rsidR="00AE7BEB" w:rsidRPr="00173402" w:rsidRDefault="00AE7BEB" w:rsidP="00C645C9">
      <w:pPr>
        <w:spacing w:line="360" w:lineRule="auto"/>
        <w:ind w:firstLineChars="200" w:firstLine="480"/>
        <w:contextualSpacing/>
        <w:outlineLvl w:val="0"/>
        <w:rPr>
          <w:rFonts w:ascii="宋体" w:hAnsi="宋体"/>
          <w:color w:val="000000"/>
          <w:sz w:val="24"/>
        </w:rPr>
      </w:pPr>
    </w:p>
    <w:p w:rsidR="00AE7BEB" w:rsidRDefault="00AE7BEB" w:rsidP="00C645C9">
      <w:pPr>
        <w:spacing w:line="360" w:lineRule="auto"/>
        <w:ind w:firstLineChars="200" w:firstLine="480"/>
        <w:contextualSpacing/>
        <w:rPr>
          <w:rFonts w:ascii="宋体" w:hAnsi="宋体"/>
          <w:color w:val="000000"/>
          <w:sz w:val="24"/>
        </w:rPr>
      </w:pPr>
      <w:r>
        <w:rPr>
          <w:rFonts w:ascii="宋体" w:hAnsi="宋体" w:hint="eastAsia"/>
          <w:color w:val="000000"/>
          <w:sz w:val="24"/>
        </w:rPr>
        <w:t>特此公告</w:t>
      </w:r>
      <w:r w:rsidR="00C645C9">
        <w:rPr>
          <w:rFonts w:ascii="宋体" w:hAnsi="宋体" w:hint="eastAsia"/>
          <w:color w:val="000000"/>
          <w:sz w:val="24"/>
        </w:rPr>
        <w:t>。</w:t>
      </w:r>
    </w:p>
    <w:p w:rsidR="00AE7BEB" w:rsidRDefault="00AE7BEB" w:rsidP="00C645C9">
      <w:pPr>
        <w:spacing w:line="360" w:lineRule="auto"/>
        <w:ind w:firstLineChars="200" w:firstLine="480"/>
        <w:contextualSpacing/>
        <w:jc w:val="right"/>
        <w:rPr>
          <w:rFonts w:ascii="宋体" w:hAnsi="宋体"/>
          <w:sz w:val="24"/>
          <w:szCs w:val="24"/>
        </w:rPr>
      </w:pPr>
      <w:r>
        <w:rPr>
          <w:rFonts w:ascii="宋体" w:hAnsi="宋体" w:hint="eastAsia"/>
          <w:sz w:val="24"/>
          <w:szCs w:val="24"/>
        </w:rPr>
        <w:t>富国基金管理有限公司</w:t>
      </w:r>
    </w:p>
    <w:p w:rsidR="00126128" w:rsidRDefault="0094476B" w:rsidP="004E70D2">
      <w:pPr>
        <w:wordWrap w:val="0"/>
        <w:spacing w:line="360" w:lineRule="auto"/>
        <w:contextualSpacing/>
        <w:jc w:val="right"/>
      </w:pPr>
      <w:r>
        <w:rPr>
          <w:rFonts w:ascii="宋体" w:hAnsi="宋体" w:hint="eastAsia"/>
          <w:sz w:val="24"/>
          <w:szCs w:val="24"/>
        </w:rPr>
        <w:t>二〇一八年十</w:t>
      </w:r>
      <w:r w:rsidR="004A0ABF">
        <w:rPr>
          <w:rFonts w:ascii="宋体" w:hAnsi="宋体" w:hint="eastAsia"/>
          <w:sz w:val="24"/>
          <w:szCs w:val="24"/>
        </w:rPr>
        <w:t>一</w:t>
      </w:r>
      <w:r>
        <w:rPr>
          <w:rFonts w:ascii="宋体" w:hAnsi="宋体" w:hint="eastAsia"/>
          <w:sz w:val="24"/>
          <w:szCs w:val="24"/>
        </w:rPr>
        <w:t>月</w:t>
      </w:r>
      <w:r w:rsidR="004A0ABF">
        <w:rPr>
          <w:rFonts w:ascii="宋体" w:hAnsi="宋体" w:hint="eastAsia"/>
          <w:sz w:val="24"/>
          <w:szCs w:val="24"/>
        </w:rPr>
        <w:t>二</w:t>
      </w:r>
      <w:r>
        <w:rPr>
          <w:rFonts w:ascii="宋体" w:hAnsi="宋体" w:hint="eastAsia"/>
          <w:sz w:val="24"/>
          <w:szCs w:val="24"/>
        </w:rPr>
        <w:t>十</w:t>
      </w:r>
      <w:r w:rsidR="004A0ABF">
        <w:rPr>
          <w:rFonts w:ascii="宋体" w:hAnsi="宋体" w:hint="eastAsia"/>
          <w:sz w:val="24"/>
          <w:szCs w:val="24"/>
        </w:rPr>
        <w:t>七</w:t>
      </w:r>
      <w:r>
        <w:rPr>
          <w:rFonts w:ascii="宋体" w:hAnsi="宋体" w:hint="eastAsia"/>
          <w:sz w:val="24"/>
          <w:szCs w:val="24"/>
        </w:rPr>
        <w:t>日</w:t>
      </w:r>
    </w:p>
    <w:sectPr w:rsidR="00126128" w:rsidSect="00423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42" w:rsidRDefault="00B62F42" w:rsidP="00AE7BEB">
      <w:r>
        <w:separator/>
      </w:r>
    </w:p>
  </w:endnote>
  <w:endnote w:type="continuationSeparator" w:id="0">
    <w:p w:rsidR="00B62F42" w:rsidRDefault="00B62F42" w:rsidP="00AE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42" w:rsidRDefault="00B62F42" w:rsidP="00AE7BEB">
      <w:r>
        <w:separator/>
      </w:r>
    </w:p>
  </w:footnote>
  <w:footnote w:type="continuationSeparator" w:id="0">
    <w:p w:rsidR="00B62F42" w:rsidRDefault="00B62F42" w:rsidP="00AE7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EB"/>
    <w:rsid w:val="00005456"/>
    <w:rsid w:val="00012EE9"/>
    <w:rsid w:val="00013B7F"/>
    <w:rsid w:val="00033D67"/>
    <w:rsid w:val="00036EB4"/>
    <w:rsid w:val="00051B4F"/>
    <w:rsid w:val="00055922"/>
    <w:rsid w:val="000604BB"/>
    <w:rsid w:val="00064305"/>
    <w:rsid w:val="000673C2"/>
    <w:rsid w:val="00067CE6"/>
    <w:rsid w:val="000737F3"/>
    <w:rsid w:val="00075ECC"/>
    <w:rsid w:val="00077D06"/>
    <w:rsid w:val="000810D4"/>
    <w:rsid w:val="00081EDF"/>
    <w:rsid w:val="0008529F"/>
    <w:rsid w:val="00092468"/>
    <w:rsid w:val="00092E3B"/>
    <w:rsid w:val="00095121"/>
    <w:rsid w:val="000A3076"/>
    <w:rsid w:val="000C7F09"/>
    <w:rsid w:val="000D38C4"/>
    <w:rsid w:val="000E4D92"/>
    <w:rsid w:val="000E7E5D"/>
    <w:rsid w:val="00102964"/>
    <w:rsid w:val="00103C8B"/>
    <w:rsid w:val="00104712"/>
    <w:rsid w:val="001078B3"/>
    <w:rsid w:val="001133B2"/>
    <w:rsid w:val="0011402D"/>
    <w:rsid w:val="001225D6"/>
    <w:rsid w:val="00124EC3"/>
    <w:rsid w:val="00126128"/>
    <w:rsid w:val="00134EDB"/>
    <w:rsid w:val="00142FC4"/>
    <w:rsid w:val="00152A86"/>
    <w:rsid w:val="00164777"/>
    <w:rsid w:val="00165DFA"/>
    <w:rsid w:val="001826A1"/>
    <w:rsid w:val="00182C60"/>
    <w:rsid w:val="00192731"/>
    <w:rsid w:val="0019787A"/>
    <w:rsid w:val="001A5394"/>
    <w:rsid w:val="001A6B8C"/>
    <w:rsid w:val="001A6C25"/>
    <w:rsid w:val="001A76D6"/>
    <w:rsid w:val="001B5F89"/>
    <w:rsid w:val="001B67D8"/>
    <w:rsid w:val="001C1C3F"/>
    <w:rsid w:val="001E2E41"/>
    <w:rsid w:val="001E3F66"/>
    <w:rsid w:val="001F42AD"/>
    <w:rsid w:val="00203028"/>
    <w:rsid w:val="00205BE9"/>
    <w:rsid w:val="002257DA"/>
    <w:rsid w:val="00230E60"/>
    <w:rsid w:val="0023238C"/>
    <w:rsid w:val="00252830"/>
    <w:rsid w:val="00266FA5"/>
    <w:rsid w:val="00267CE0"/>
    <w:rsid w:val="00270BBC"/>
    <w:rsid w:val="0027365C"/>
    <w:rsid w:val="002840FB"/>
    <w:rsid w:val="002872CC"/>
    <w:rsid w:val="002A0FB9"/>
    <w:rsid w:val="002A572A"/>
    <w:rsid w:val="002B2121"/>
    <w:rsid w:val="002B5371"/>
    <w:rsid w:val="002C431B"/>
    <w:rsid w:val="002C5953"/>
    <w:rsid w:val="002C76E1"/>
    <w:rsid w:val="002E2446"/>
    <w:rsid w:val="002E5B11"/>
    <w:rsid w:val="002E689E"/>
    <w:rsid w:val="002E70CA"/>
    <w:rsid w:val="00300E9C"/>
    <w:rsid w:val="00301449"/>
    <w:rsid w:val="00301C3B"/>
    <w:rsid w:val="00320041"/>
    <w:rsid w:val="0033024D"/>
    <w:rsid w:val="003352B4"/>
    <w:rsid w:val="0033682D"/>
    <w:rsid w:val="003728B8"/>
    <w:rsid w:val="00377701"/>
    <w:rsid w:val="00382C19"/>
    <w:rsid w:val="00383AAB"/>
    <w:rsid w:val="003A646F"/>
    <w:rsid w:val="003B2E67"/>
    <w:rsid w:val="003C08E8"/>
    <w:rsid w:val="003C6077"/>
    <w:rsid w:val="003C6631"/>
    <w:rsid w:val="003D0CC6"/>
    <w:rsid w:val="003F396E"/>
    <w:rsid w:val="0042200F"/>
    <w:rsid w:val="00423F76"/>
    <w:rsid w:val="00442842"/>
    <w:rsid w:val="00462A76"/>
    <w:rsid w:val="0048505E"/>
    <w:rsid w:val="00485943"/>
    <w:rsid w:val="00485B57"/>
    <w:rsid w:val="00494DE3"/>
    <w:rsid w:val="004A0ABF"/>
    <w:rsid w:val="004B558F"/>
    <w:rsid w:val="004C6E5C"/>
    <w:rsid w:val="004D47F3"/>
    <w:rsid w:val="004E70D2"/>
    <w:rsid w:val="004F10C5"/>
    <w:rsid w:val="004F16F5"/>
    <w:rsid w:val="004F2A48"/>
    <w:rsid w:val="00514C05"/>
    <w:rsid w:val="00521409"/>
    <w:rsid w:val="00521A74"/>
    <w:rsid w:val="00522F68"/>
    <w:rsid w:val="00540C81"/>
    <w:rsid w:val="00541008"/>
    <w:rsid w:val="0055039A"/>
    <w:rsid w:val="00560186"/>
    <w:rsid w:val="005615EB"/>
    <w:rsid w:val="00563C16"/>
    <w:rsid w:val="005667C5"/>
    <w:rsid w:val="00572379"/>
    <w:rsid w:val="005872D1"/>
    <w:rsid w:val="00593920"/>
    <w:rsid w:val="00594963"/>
    <w:rsid w:val="005A2C11"/>
    <w:rsid w:val="005A7961"/>
    <w:rsid w:val="005B5170"/>
    <w:rsid w:val="005C0AB1"/>
    <w:rsid w:val="005C6E9D"/>
    <w:rsid w:val="005C6FF4"/>
    <w:rsid w:val="005D47CF"/>
    <w:rsid w:val="005E4C84"/>
    <w:rsid w:val="006135F4"/>
    <w:rsid w:val="00614598"/>
    <w:rsid w:val="00623236"/>
    <w:rsid w:val="0063101F"/>
    <w:rsid w:val="006326DF"/>
    <w:rsid w:val="0065259E"/>
    <w:rsid w:val="00652772"/>
    <w:rsid w:val="00656882"/>
    <w:rsid w:val="00681890"/>
    <w:rsid w:val="00684CEF"/>
    <w:rsid w:val="00693796"/>
    <w:rsid w:val="006A109B"/>
    <w:rsid w:val="006C6C59"/>
    <w:rsid w:val="006E2634"/>
    <w:rsid w:val="006F0A48"/>
    <w:rsid w:val="006F211A"/>
    <w:rsid w:val="006F7AAA"/>
    <w:rsid w:val="00703CBF"/>
    <w:rsid w:val="007163EC"/>
    <w:rsid w:val="0071786C"/>
    <w:rsid w:val="00722602"/>
    <w:rsid w:val="007229B3"/>
    <w:rsid w:val="00727CB6"/>
    <w:rsid w:val="007340B9"/>
    <w:rsid w:val="00736CF1"/>
    <w:rsid w:val="00740F72"/>
    <w:rsid w:val="00742C69"/>
    <w:rsid w:val="0074421C"/>
    <w:rsid w:val="00750280"/>
    <w:rsid w:val="00760468"/>
    <w:rsid w:val="0076121F"/>
    <w:rsid w:val="00762CDE"/>
    <w:rsid w:val="007679FA"/>
    <w:rsid w:val="00771E46"/>
    <w:rsid w:val="00782643"/>
    <w:rsid w:val="0078358B"/>
    <w:rsid w:val="00790AD2"/>
    <w:rsid w:val="007A5AB2"/>
    <w:rsid w:val="007C5B0D"/>
    <w:rsid w:val="007D2A7D"/>
    <w:rsid w:val="007D7554"/>
    <w:rsid w:val="007E040D"/>
    <w:rsid w:val="007F7448"/>
    <w:rsid w:val="0080278A"/>
    <w:rsid w:val="00814B06"/>
    <w:rsid w:val="00830C49"/>
    <w:rsid w:val="00835E80"/>
    <w:rsid w:val="00843223"/>
    <w:rsid w:val="0085477F"/>
    <w:rsid w:val="008608DC"/>
    <w:rsid w:val="00867736"/>
    <w:rsid w:val="00872CBD"/>
    <w:rsid w:val="008764C6"/>
    <w:rsid w:val="00877FDE"/>
    <w:rsid w:val="00881411"/>
    <w:rsid w:val="00887832"/>
    <w:rsid w:val="00894EE2"/>
    <w:rsid w:val="00895B46"/>
    <w:rsid w:val="008A10B1"/>
    <w:rsid w:val="008A4AFC"/>
    <w:rsid w:val="008A75E8"/>
    <w:rsid w:val="008B33FD"/>
    <w:rsid w:val="008C2026"/>
    <w:rsid w:val="008D05B3"/>
    <w:rsid w:val="008D4201"/>
    <w:rsid w:val="008D7B1E"/>
    <w:rsid w:val="008F432A"/>
    <w:rsid w:val="00902F7F"/>
    <w:rsid w:val="00906DC7"/>
    <w:rsid w:val="00920F1B"/>
    <w:rsid w:val="00924A6B"/>
    <w:rsid w:val="00943266"/>
    <w:rsid w:val="0094476B"/>
    <w:rsid w:val="00945500"/>
    <w:rsid w:val="00954727"/>
    <w:rsid w:val="00966D5B"/>
    <w:rsid w:val="00977419"/>
    <w:rsid w:val="00996200"/>
    <w:rsid w:val="0099681F"/>
    <w:rsid w:val="00997635"/>
    <w:rsid w:val="009A71A3"/>
    <w:rsid w:val="009B2507"/>
    <w:rsid w:val="009B33E4"/>
    <w:rsid w:val="009C33D6"/>
    <w:rsid w:val="009D2C10"/>
    <w:rsid w:val="009D510D"/>
    <w:rsid w:val="009E1871"/>
    <w:rsid w:val="00A02789"/>
    <w:rsid w:val="00A1643B"/>
    <w:rsid w:val="00A21FE9"/>
    <w:rsid w:val="00A31A1F"/>
    <w:rsid w:val="00A33936"/>
    <w:rsid w:val="00A44274"/>
    <w:rsid w:val="00A53D06"/>
    <w:rsid w:val="00A55F9B"/>
    <w:rsid w:val="00A74838"/>
    <w:rsid w:val="00A77E58"/>
    <w:rsid w:val="00A934B4"/>
    <w:rsid w:val="00A946E6"/>
    <w:rsid w:val="00A96459"/>
    <w:rsid w:val="00AA7BCC"/>
    <w:rsid w:val="00AB4E3E"/>
    <w:rsid w:val="00AB4EE9"/>
    <w:rsid w:val="00AC3FBC"/>
    <w:rsid w:val="00AC48B1"/>
    <w:rsid w:val="00AC51B7"/>
    <w:rsid w:val="00AD2DDB"/>
    <w:rsid w:val="00AD4B45"/>
    <w:rsid w:val="00AE7BEB"/>
    <w:rsid w:val="00AF57B7"/>
    <w:rsid w:val="00AF7F2B"/>
    <w:rsid w:val="00B00042"/>
    <w:rsid w:val="00B12E2B"/>
    <w:rsid w:val="00B1650E"/>
    <w:rsid w:val="00B23AF4"/>
    <w:rsid w:val="00B33B15"/>
    <w:rsid w:val="00B42494"/>
    <w:rsid w:val="00B56744"/>
    <w:rsid w:val="00B57377"/>
    <w:rsid w:val="00B60894"/>
    <w:rsid w:val="00B62F42"/>
    <w:rsid w:val="00B82AF2"/>
    <w:rsid w:val="00B84527"/>
    <w:rsid w:val="00B953B3"/>
    <w:rsid w:val="00BA305C"/>
    <w:rsid w:val="00BA479D"/>
    <w:rsid w:val="00BB3EF9"/>
    <w:rsid w:val="00BB75A5"/>
    <w:rsid w:val="00BC59D6"/>
    <w:rsid w:val="00BD0A58"/>
    <w:rsid w:val="00BD63B8"/>
    <w:rsid w:val="00BE2000"/>
    <w:rsid w:val="00BE2D24"/>
    <w:rsid w:val="00BF222D"/>
    <w:rsid w:val="00BF5EA7"/>
    <w:rsid w:val="00C35AF7"/>
    <w:rsid w:val="00C411F1"/>
    <w:rsid w:val="00C555AF"/>
    <w:rsid w:val="00C564B5"/>
    <w:rsid w:val="00C645C9"/>
    <w:rsid w:val="00C807DF"/>
    <w:rsid w:val="00CA0AF0"/>
    <w:rsid w:val="00CA2A09"/>
    <w:rsid w:val="00CA336D"/>
    <w:rsid w:val="00CC635C"/>
    <w:rsid w:val="00CD2926"/>
    <w:rsid w:val="00CD2D16"/>
    <w:rsid w:val="00CD67E7"/>
    <w:rsid w:val="00CE7DE7"/>
    <w:rsid w:val="00CF5A56"/>
    <w:rsid w:val="00D04196"/>
    <w:rsid w:val="00D0604A"/>
    <w:rsid w:val="00D16083"/>
    <w:rsid w:val="00D205B2"/>
    <w:rsid w:val="00D300BB"/>
    <w:rsid w:val="00D35484"/>
    <w:rsid w:val="00D4365E"/>
    <w:rsid w:val="00D51675"/>
    <w:rsid w:val="00D61014"/>
    <w:rsid w:val="00D64111"/>
    <w:rsid w:val="00D646D5"/>
    <w:rsid w:val="00DA0FE6"/>
    <w:rsid w:val="00DC0259"/>
    <w:rsid w:val="00DC0EE4"/>
    <w:rsid w:val="00DC1F59"/>
    <w:rsid w:val="00DC2E4C"/>
    <w:rsid w:val="00DE0E50"/>
    <w:rsid w:val="00DE3C27"/>
    <w:rsid w:val="00DE72A2"/>
    <w:rsid w:val="00E0122F"/>
    <w:rsid w:val="00E01E16"/>
    <w:rsid w:val="00E022B4"/>
    <w:rsid w:val="00E05C0F"/>
    <w:rsid w:val="00E05F7F"/>
    <w:rsid w:val="00E118F7"/>
    <w:rsid w:val="00E17805"/>
    <w:rsid w:val="00E20B9F"/>
    <w:rsid w:val="00E25521"/>
    <w:rsid w:val="00E309BA"/>
    <w:rsid w:val="00E4167E"/>
    <w:rsid w:val="00E53CE2"/>
    <w:rsid w:val="00E624C3"/>
    <w:rsid w:val="00E660E6"/>
    <w:rsid w:val="00E70B3C"/>
    <w:rsid w:val="00E9244D"/>
    <w:rsid w:val="00EA7145"/>
    <w:rsid w:val="00EC432C"/>
    <w:rsid w:val="00EC4DA2"/>
    <w:rsid w:val="00ED013C"/>
    <w:rsid w:val="00ED033F"/>
    <w:rsid w:val="00ED101A"/>
    <w:rsid w:val="00ED1E48"/>
    <w:rsid w:val="00EE1A65"/>
    <w:rsid w:val="00EF2045"/>
    <w:rsid w:val="00EF4EA2"/>
    <w:rsid w:val="00F03713"/>
    <w:rsid w:val="00F26709"/>
    <w:rsid w:val="00F27B40"/>
    <w:rsid w:val="00F339E9"/>
    <w:rsid w:val="00F37C78"/>
    <w:rsid w:val="00F41718"/>
    <w:rsid w:val="00F418D1"/>
    <w:rsid w:val="00F42ED4"/>
    <w:rsid w:val="00F47410"/>
    <w:rsid w:val="00F561A7"/>
    <w:rsid w:val="00F8136D"/>
    <w:rsid w:val="00F81918"/>
    <w:rsid w:val="00F81E54"/>
    <w:rsid w:val="00F83C56"/>
    <w:rsid w:val="00F87E83"/>
    <w:rsid w:val="00F9446A"/>
    <w:rsid w:val="00F9502E"/>
    <w:rsid w:val="00F96E4D"/>
    <w:rsid w:val="00FA2857"/>
    <w:rsid w:val="00FA451D"/>
    <w:rsid w:val="00FB5A00"/>
    <w:rsid w:val="00FD4C8C"/>
    <w:rsid w:val="00FD6487"/>
    <w:rsid w:val="00FE4655"/>
    <w:rsid w:val="00FF6F0C"/>
    <w:rsid w:val="00FF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7BEB"/>
    <w:rPr>
      <w:sz w:val="18"/>
      <w:szCs w:val="18"/>
    </w:rPr>
  </w:style>
  <w:style w:type="paragraph" w:styleId="a4">
    <w:name w:val="footer"/>
    <w:basedOn w:val="a"/>
    <w:link w:val="Char0"/>
    <w:uiPriority w:val="99"/>
    <w:unhideWhenUsed/>
    <w:rsid w:val="00AE7BEB"/>
    <w:pPr>
      <w:tabs>
        <w:tab w:val="center" w:pos="4153"/>
        <w:tab w:val="right" w:pos="8306"/>
      </w:tabs>
      <w:snapToGrid w:val="0"/>
      <w:jc w:val="left"/>
    </w:pPr>
    <w:rPr>
      <w:sz w:val="18"/>
      <w:szCs w:val="18"/>
    </w:rPr>
  </w:style>
  <w:style w:type="character" w:customStyle="1" w:styleId="Char0">
    <w:name w:val="页脚 Char"/>
    <w:basedOn w:val="a0"/>
    <w:link w:val="a4"/>
    <w:uiPriority w:val="99"/>
    <w:rsid w:val="00AE7BEB"/>
    <w:rPr>
      <w:sz w:val="18"/>
      <w:szCs w:val="18"/>
    </w:rPr>
  </w:style>
  <w:style w:type="character" w:styleId="a5">
    <w:name w:val="Hyperlink"/>
    <w:unhideWhenUsed/>
    <w:rsid w:val="00AE7BEB"/>
    <w:rPr>
      <w:color w:val="0000FF"/>
      <w:u w:val="single"/>
    </w:rPr>
  </w:style>
  <w:style w:type="paragraph" w:styleId="a6">
    <w:name w:val="Plain Text"/>
    <w:basedOn w:val="a"/>
    <w:link w:val="Char1"/>
    <w:uiPriority w:val="99"/>
    <w:unhideWhenUsed/>
    <w:rsid w:val="00AE7BEB"/>
    <w:pPr>
      <w:jc w:val="left"/>
    </w:pPr>
    <w:rPr>
      <w:rFonts w:hAnsi="Courier New" w:cs="Courier New"/>
      <w:szCs w:val="21"/>
    </w:rPr>
  </w:style>
  <w:style w:type="character" w:customStyle="1" w:styleId="Char1">
    <w:name w:val="纯文本 Char"/>
    <w:basedOn w:val="a0"/>
    <w:link w:val="a6"/>
    <w:uiPriority w:val="99"/>
    <w:rsid w:val="00AE7BEB"/>
    <w:rPr>
      <w:rFonts w:ascii="Calibri" w:eastAsia="宋体" w:hAnsi="Courier New" w:cs="Courier New"/>
      <w:szCs w:val="21"/>
    </w:rPr>
  </w:style>
  <w:style w:type="paragraph" w:styleId="a7">
    <w:name w:val="List Paragraph"/>
    <w:basedOn w:val="a"/>
    <w:uiPriority w:val="34"/>
    <w:qFormat/>
    <w:rsid w:val="00A934B4"/>
    <w:pPr>
      <w:ind w:firstLineChars="200" w:firstLine="420"/>
    </w:pPr>
  </w:style>
  <w:style w:type="paragraph" w:styleId="a8">
    <w:name w:val="Balloon Text"/>
    <w:basedOn w:val="a"/>
    <w:link w:val="Char2"/>
    <w:uiPriority w:val="99"/>
    <w:semiHidden/>
    <w:unhideWhenUsed/>
    <w:rsid w:val="00CA2A09"/>
    <w:rPr>
      <w:sz w:val="18"/>
      <w:szCs w:val="18"/>
    </w:rPr>
  </w:style>
  <w:style w:type="character" w:customStyle="1" w:styleId="Char2">
    <w:name w:val="批注框文本 Char"/>
    <w:basedOn w:val="a0"/>
    <w:link w:val="a8"/>
    <w:uiPriority w:val="99"/>
    <w:semiHidden/>
    <w:rsid w:val="00CA2A09"/>
    <w:rPr>
      <w:rFonts w:ascii="Calibri" w:eastAsia="宋体" w:hAnsi="Calibri" w:cs="Times New Roman"/>
      <w:sz w:val="18"/>
      <w:szCs w:val="18"/>
    </w:rPr>
  </w:style>
  <w:style w:type="paragraph" w:customStyle="1" w:styleId="a9">
    <w:name w:val="合同正文"/>
    <w:basedOn w:val="a"/>
    <w:link w:val="CharChar"/>
    <w:qFormat/>
    <w:rsid w:val="00485943"/>
    <w:pPr>
      <w:spacing w:line="360" w:lineRule="auto"/>
      <w:ind w:firstLineChars="200" w:firstLine="200"/>
    </w:pPr>
    <w:rPr>
      <w:rFonts w:ascii="Times New Roman" w:hAnsi="Times New Roman"/>
      <w:bCs/>
      <w:sz w:val="24"/>
      <w:szCs w:val="20"/>
    </w:rPr>
  </w:style>
  <w:style w:type="character" w:customStyle="1" w:styleId="CharChar">
    <w:name w:val="合同正文 Char Char"/>
    <w:link w:val="a9"/>
    <w:rsid w:val="00485943"/>
    <w:rPr>
      <w:rFonts w:ascii="Times New Roman" w:eastAsia="宋体" w:hAnsi="Times New Roman" w:cs="Times New Roman"/>
      <w:bCs/>
      <w:sz w:val="24"/>
      <w:szCs w:val="20"/>
    </w:rPr>
  </w:style>
  <w:style w:type="paragraph" w:styleId="aa">
    <w:name w:val="Revision"/>
    <w:hidden/>
    <w:uiPriority w:val="99"/>
    <w:semiHidden/>
    <w:rsid w:val="00B1650E"/>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7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7BEB"/>
    <w:rPr>
      <w:sz w:val="18"/>
      <w:szCs w:val="18"/>
    </w:rPr>
  </w:style>
  <w:style w:type="paragraph" w:styleId="a4">
    <w:name w:val="footer"/>
    <w:basedOn w:val="a"/>
    <w:link w:val="Char0"/>
    <w:uiPriority w:val="99"/>
    <w:unhideWhenUsed/>
    <w:rsid w:val="00AE7BEB"/>
    <w:pPr>
      <w:tabs>
        <w:tab w:val="center" w:pos="4153"/>
        <w:tab w:val="right" w:pos="8306"/>
      </w:tabs>
      <w:snapToGrid w:val="0"/>
      <w:jc w:val="left"/>
    </w:pPr>
    <w:rPr>
      <w:sz w:val="18"/>
      <w:szCs w:val="18"/>
    </w:rPr>
  </w:style>
  <w:style w:type="character" w:customStyle="1" w:styleId="Char0">
    <w:name w:val="页脚 Char"/>
    <w:basedOn w:val="a0"/>
    <w:link w:val="a4"/>
    <w:uiPriority w:val="99"/>
    <w:rsid w:val="00AE7BEB"/>
    <w:rPr>
      <w:sz w:val="18"/>
      <w:szCs w:val="18"/>
    </w:rPr>
  </w:style>
  <w:style w:type="character" w:styleId="a5">
    <w:name w:val="Hyperlink"/>
    <w:unhideWhenUsed/>
    <w:rsid w:val="00AE7BEB"/>
    <w:rPr>
      <w:color w:val="0000FF"/>
      <w:u w:val="single"/>
    </w:rPr>
  </w:style>
  <w:style w:type="paragraph" w:styleId="a6">
    <w:name w:val="Plain Text"/>
    <w:basedOn w:val="a"/>
    <w:link w:val="Char1"/>
    <w:uiPriority w:val="99"/>
    <w:unhideWhenUsed/>
    <w:rsid w:val="00AE7BEB"/>
    <w:pPr>
      <w:jc w:val="left"/>
    </w:pPr>
    <w:rPr>
      <w:rFonts w:hAnsi="Courier New" w:cs="Courier New"/>
      <w:szCs w:val="21"/>
    </w:rPr>
  </w:style>
  <w:style w:type="character" w:customStyle="1" w:styleId="Char1">
    <w:name w:val="纯文本 Char"/>
    <w:basedOn w:val="a0"/>
    <w:link w:val="a6"/>
    <w:uiPriority w:val="99"/>
    <w:rsid w:val="00AE7BEB"/>
    <w:rPr>
      <w:rFonts w:ascii="Calibri" w:eastAsia="宋体" w:hAnsi="Courier New" w:cs="Courier New"/>
      <w:szCs w:val="21"/>
    </w:rPr>
  </w:style>
  <w:style w:type="paragraph" w:styleId="a7">
    <w:name w:val="List Paragraph"/>
    <w:basedOn w:val="a"/>
    <w:uiPriority w:val="34"/>
    <w:qFormat/>
    <w:rsid w:val="00A934B4"/>
    <w:pPr>
      <w:ind w:firstLineChars="200" w:firstLine="420"/>
    </w:pPr>
  </w:style>
  <w:style w:type="paragraph" w:styleId="a8">
    <w:name w:val="Balloon Text"/>
    <w:basedOn w:val="a"/>
    <w:link w:val="Char2"/>
    <w:uiPriority w:val="99"/>
    <w:semiHidden/>
    <w:unhideWhenUsed/>
    <w:rsid w:val="00CA2A09"/>
    <w:rPr>
      <w:sz w:val="18"/>
      <w:szCs w:val="18"/>
    </w:rPr>
  </w:style>
  <w:style w:type="character" w:customStyle="1" w:styleId="Char2">
    <w:name w:val="批注框文本 Char"/>
    <w:basedOn w:val="a0"/>
    <w:link w:val="a8"/>
    <w:uiPriority w:val="99"/>
    <w:semiHidden/>
    <w:rsid w:val="00CA2A09"/>
    <w:rPr>
      <w:rFonts w:ascii="Calibri" w:eastAsia="宋体" w:hAnsi="Calibri" w:cs="Times New Roman"/>
      <w:sz w:val="18"/>
      <w:szCs w:val="18"/>
    </w:rPr>
  </w:style>
  <w:style w:type="paragraph" w:customStyle="1" w:styleId="a9">
    <w:name w:val="合同正文"/>
    <w:basedOn w:val="a"/>
    <w:link w:val="CharChar"/>
    <w:qFormat/>
    <w:rsid w:val="00485943"/>
    <w:pPr>
      <w:spacing w:line="360" w:lineRule="auto"/>
      <w:ind w:firstLineChars="200" w:firstLine="200"/>
    </w:pPr>
    <w:rPr>
      <w:rFonts w:ascii="Times New Roman" w:hAnsi="Times New Roman"/>
      <w:bCs/>
      <w:sz w:val="24"/>
      <w:szCs w:val="20"/>
    </w:rPr>
  </w:style>
  <w:style w:type="character" w:customStyle="1" w:styleId="CharChar">
    <w:name w:val="合同正文 Char Char"/>
    <w:link w:val="a9"/>
    <w:rsid w:val="00485943"/>
    <w:rPr>
      <w:rFonts w:ascii="Times New Roman" w:eastAsia="宋体" w:hAnsi="Times New Roman" w:cs="Times New Roman"/>
      <w:bCs/>
      <w:sz w:val="24"/>
      <w:szCs w:val="20"/>
    </w:rPr>
  </w:style>
  <w:style w:type="paragraph" w:styleId="aa">
    <w:name w:val="Revision"/>
    <w:hidden/>
    <w:uiPriority w:val="99"/>
    <w:semiHidden/>
    <w:rsid w:val="00B1650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856">
      <w:bodyDiv w:val="1"/>
      <w:marLeft w:val="0"/>
      <w:marRight w:val="0"/>
      <w:marTop w:val="0"/>
      <w:marBottom w:val="0"/>
      <w:divBdr>
        <w:top w:val="none" w:sz="0" w:space="0" w:color="auto"/>
        <w:left w:val="none" w:sz="0" w:space="0" w:color="auto"/>
        <w:bottom w:val="none" w:sz="0" w:space="0" w:color="auto"/>
        <w:right w:val="none" w:sz="0" w:space="0" w:color="auto"/>
      </w:divBdr>
    </w:div>
    <w:div w:id="8410242">
      <w:bodyDiv w:val="1"/>
      <w:marLeft w:val="0"/>
      <w:marRight w:val="0"/>
      <w:marTop w:val="0"/>
      <w:marBottom w:val="0"/>
      <w:divBdr>
        <w:top w:val="none" w:sz="0" w:space="0" w:color="auto"/>
        <w:left w:val="none" w:sz="0" w:space="0" w:color="auto"/>
        <w:bottom w:val="none" w:sz="0" w:space="0" w:color="auto"/>
        <w:right w:val="none" w:sz="0" w:space="0" w:color="auto"/>
      </w:divBdr>
    </w:div>
    <w:div w:id="215623850">
      <w:bodyDiv w:val="1"/>
      <w:marLeft w:val="0"/>
      <w:marRight w:val="0"/>
      <w:marTop w:val="0"/>
      <w:marBottom w:val="0"/>
      <w:divBdr>
        <w:top w:val="none" w:sz="0" w:space="0" w:color="auto"/>
        <w:left w:val="none" w:sz="0" w:space="0" w:color="auto"/>
        <w:bottom w:val="none" w:sz="0" w:space="0" w:color="auto"/>
        <w:right w:val="none" w:sz="0" w:space="0" w:color="auto"/>
      </w:divBdr>
    </w:div>
    <w:div w:id="685641221">
      <w:bodyDiv w:val="1"/>
      <w:marLeft w:val="0"/>
      <w:marRight w:val="0"/>
      <w:marTop w:val="0"/>
      <w:marBottom w:val="0"/>
      <w:divBdr>
        <w:top w:val="none" w:sz="0" w:space="0" w:color="auto"/>
        <w:left w:val="none" w:sz="0" w:space="0" w:color="auto"/>
        <w:bottom w:val="none" w:sz="0" w:space="0" w:color="auto"/>
        <w:right w:val="none" w:sz="0" w:space="0" w:color="auto"/>
      </w:divBdr>
    </w:div>
    <w:div w:id="1554997536">
      <w:bodyDiv w:val="1"/>
      <w:marLeft w:val="0"/>
      <w:marRight w:val="0"/>
      <w:marTop w:val="0"/>
      <w:marBottom w:val="0"/>
      <w:divBdr>
        <w:top w:val="none" w:sz="0" w:space="0" w:color="auto"/>
        <w:left w:val="none" w:sz="0" w:space="0" w:color="auto"/>
        <w:bottom w:val="none" w:sz="0" w:space="0" w:color="auto"/>
        <w:right w:val="none" w:sz="0" w:space="0" w:color="auto"/>
      </w:divBdr>
    </w:div>
    <w:div w:id="1866216016">
      <w:bodyDiv w:val="1"/>
      <w:marLeft w:val="0"/>
      <w:marRight w:val="0"/>
      <w:marTop w:val="0"/>
      <w:marBottom w:val="0"/>
      <w:divBdr>
        <w:top w:val="none" w:sz="0" w:space="0" w:color="auto"/>
        <w:left w:val="none" w:sz="0" w:space="0" w:color="auto"/>
        <w:bottom w:val="none" w:sz="0" w:space="0" w:color="auto"/>
        <w:right w:val="none" w:sz="0" w:space="0" w:color="auto"/>
      </w:divBdr>
    </w:div>
    <w:div w:id="18761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llgoal.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46EF3-9C17-4058-8998-F4466F93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2756</Characters>
  <Application>Microsoft Office Word</Application>
  <DocSecurity>0</DocSecurity>
  <Lines>22</Lines>
  <Paragraphs>6</Paragraphs>
  <ScaleCrop>false</ScaleCrop>
  <Company>MS</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huangzilin</dc:creator>
  <cp:lastModifiedBy>SHC</cp:lastModifiedBy>
  <cp:revision>2</cp:revision>
  <dcterms:created xsi:type="dcterms:W3CDTF">2019-04-09T05:09:00Z</dcterms:created>
  <dcterms:modified xsi:type="dcterms:W3CDTF">2019-04-09T05:09:00Z</dcterms:modified>
</cp:coreProperties>
</file>