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E98" w:rsidRDefault="00C14D70">
      <w:pPr>
        <w:spacing w:line="360" w:lineRule="auto"/>
        <w:jc w:val="center"/>
        <w:rPr>
          <w:rFonts w:ascii="微软雅黑" w:eastAsia="微软雅黑" w:hAnsi="微软雅黑" w:cs="宋体"/>
          <w:color w:val="504545"/>
          <w:kern w:val="0"/>
          <w:sz w:val="32"/>
          <w:szCs w:val="32"/>
        </w:rPr>
      </w:pPr>
      <w:bookmarkStart w:id="0" w:name="_GoBack"/>
      <w:bookmarkEnd w:id="0"/>
      <w:r>
        <w:rPr>
          <w:rFonts w:ascii="微软雅黑" w:eastAsia="微软雅黑" w:hAnsi="微软雅黑" w:cs="宋体" w:hint="eastAsia"/>
          <w:color w:val="504545"/>
          <w:kern w:val="0"/>
          <w:sz w:val="32"/>
          <w:szCs w:val="32"/>
        </w:rPr>
        <w:t>北信瑞丰</w:t>
      </w:r>
      <w:r>
        <w:rPr>
          <w:rFonts w:ascii="微软雅黑" w:eastAsia="微软雅黑" w:hAnsi="微软雅黑" w:cs="宋体"/>
          <w:color w:val="504545"/>
          <w:kern w:val="0"/>
          <w:sz w:val="32"/>
          <w:szCs w:val="32"/>
        </w:rPr>
        <w:t>基金管理有限公司关于旗下基金新增</w:t>
      </w:r>
      <w:r>
        <w:rPr>
          <w:rFonts w:ascii="微软雅黑" w:eastAsia="微软雅黑" w:hAnsi="微软雅黑" w:cs="宋体" w:hint="eastAsia"/>
          <w:color w:val="504545"/>
          <w:kern w:val="0"/>
          <w:sz w:val="32"/>
          <w:szCs w:val="32"/>
        </w:rPr>
        <w:t>西藏东方财富证券股份有限公司</w:t>
      </w:r>
      <w:r>
        <w:rPr>
          <w:rFonts w:ascii="微软雅黑" w:eastAsia="微软雅黑" w:hAnsi="微软雅黑" w:cs="宋体"/>
          <w:color w:val="504545"/>
          <w:kern w:val="0"/>
          <w:sz w:val="32"/>
          <w:szCs w:val="32"/>
        </w:rPr>
        <w:t>为</w:t>
      </w:r>
      <w:r>
        <w:rPr>
          <w:rFonts w:ascii="微软雅黑" w:eastAsia="微软雅黑" w:hAnsi="微软雅黑" w:cs="宋体" w:hint="eastAsia"/>
          <w:color w:val="504545"/>
          <w:kern w:val="0"/>
          <w:sz w:val="32"/>
          <w:szCs w:val="32"/>
        </w:rPr>
        <w:t>基金</w:t>
      </w:r>
      <w:r>
        <w:rPr>
          <w:rFonts w:ascii="微软雅黑" w:eastAsia="微软雅黑" w:hAnsi="微软雅黑" w:cs="宋体"/>
          <w:color w:val="504545"/>
          <w:kern w:val="0"/>
          <w:sz w:val="32"/>
          <w:szCs w:val="32"/>
        </w:rPr>
        <w:t>代销机构</w:t>
      </w:r>
      <w:r>
        <w:rPr>
          <w:rFonts w:ascii="微软雅黑" w:eastAsia="微软雅黑" w:hAnsi="微软雅黑" w:cs="宋体" w:hint="eastAsia"/>
          <w:color w:val="504545"/>
          <w:kern w:val="0"/>
          <w:sz w:val="32"/>
          <w:szCs w:val="32"/>
        </w:rPr>
        <w:t>和参与</w:t>
      </w:r>
      <w:r>
        <w:rPr>
          <w:rFonts w:ascii="微软雅黑" w:eastAsia="微软雅黑" w:hAnsi="微软雅黑" w:cs="宋体"/>
          <w:color w:val="504545"/>
          <w:kern w:val="0"/>
          <w:sz w:val="32"/>
          <w:szCs w:val="32"/>
        </w:rPr>
        <w:t>费率优惠</w:t>
      </w:r>
      <w:r>
        <w:rPr>
          <w:rFonts w:ascii="微软雅黑" w:eastAsia="微软雅黑" w:hAnsi="微软雅黑" w:cs="宋体" w:hint="eastAsia"/>
          <w:color w:val="504545"/>
          <w:kern w:val="0"/>
          <w:sz w:val="32"/>
          <w:szCs w:val="32"/>
        </w:rPr>
        <w:t>活动</w:t>
      </w:r>
      <w:r>
        <w:rPr>
          <w:rFonts w:ascii="微软雅黑" w:eastAsia="微软雅黑" w:hAnsi="微软雅黑" w:cs="宋体"/>
          <w:color w:val="504545"/>
          <w:kern w:val="0"/>
          <w:sz w:val="32"/>
          <w:szCs w:val="32"/>
        </w:rPr>
        <w:t>的公告</w:t>
      </w:r>
    </w:p>
    <w:p w:rsidR="00F52E98" w:rsidRDefault="00F52E98">
      <w:pPr>
        <w:jc w:val="center"/>
        <w:rPr>
          <w:rFonts w:ascii="黑体" w:eastAsia="黑体" w:hAnsi="黑体"/>
          <w:sz w:val="11"/>
          <w:szCs w:val="32"/>
        </w:rPr>
      </w:pPr>
    </w:p>
    <w:p w:rsidR="00F52E98" w:rsidRDefault="00C14D70">
      <w:pPr>
        <w:spacing w:line="360" w:lineRule="auto"/>
        <w:ind w:firstLineChars="200" w:firstLine="420"/>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根据</w:t>
      </w:r>
      <w:r>
        <w:rPr>
          <w:rFonts w:ascii="微软雅黑" w:eastAsia="微软雅黑" w:hAnsi="微软雅黑" w:cs="Times New Roman"/>
          <w:color w:val="504545"/>
          <w:szCs w:val="21"/>
        </w:rPr>
        <w:t>北信瑞丰基金管理有限公司（以下简称</w:t>
      </w:r>
      <w:r>
        <w:rPr>
          <w:rFonts w:ascii="微软雅黑" w:eastAsia="微软雅黑" w:hAnsi="微软雅黑" w:cs="Times New Roman"/>
          <w:color w:val="504545"/>
          <w:szCs w:val="21"/>
        </w:rPr>
        <w:t>“</w:t>
      </w:r>
      <w:r>
        <w:rPr>
          <w:rFonts w:ascii="微软雅黑" w:eastAsia="微软雅黑" w:hAnsi="微软雅黑" w:cs="Times New Roman"/>
          <w:color w:val="504545"/>
          <w:szCs w:val="21"/>
        </w:rPr>
        <w:t>本公司</w:t>
      </w:r>
      <w:r>
        <w:rPr>
          <w:rFonts w:ascii="微软雅黑" w:eastAsia="微软雅黑" w:hAnsi="微软雅黑" w:cs="Times New Roman"/>
          <w:color w:val="504545"/>
          <w:szCs w:val="21"/>
        </w:rPr>
        <w:t>”</w:t>
      </w:r>
      <w:r>
        <w:rPr>
          <w:rFonts w:ascii="微软雅黑" w:eastAsia="微软雅黑" w:hAnsi="微软雅黑" w:cs="Times New Roman"/>
          <w:color w:val="504545"/>
          <w:szCs w:val="21"/>
        </w:rPr>
        <w:t>）</w:t>
      </w:r>
      <w:r>
        <w:rPr>
          <w:rFonts w:ascii="微软雅黑" w:eastAsia="微软雅黑" w:hAnsi="微软雅黑" w:cs="Times New Roman" w:hint="eastAsia"/>
          <w:color w:val="504545"/>
          <w:szCs w:val="21"/>
        </w:rPr>
        <w:t>与西藏东方财富证券股份有限公司</w:t>
      </w:r>
      <w:r>
        <w:rPr>
          <w:rFonts w:ascii="微软雅黑" w:eastAsia="微软雅黑" w:hAnsi="微软雅黑" w:cs="Times New Roman"/>
          <w:color w:val="504545"/>
          <w:szCs w:val="21"/>
        </w:rPr>
        <w:t>（以下简称</w:t>
      </w:r>
      <w:r>
        <w:rPr>
          <w:rFonts w:ascii="微软雅黑" w:eastAsia="微软雅黑" w:hAnsi="微软雅黑" w:cs="Times New Roman"/>
          <w:color w:val="504545"/>
          <w:szCs w:val="21"/>
        </w:rPr>
        <w:t>“</w:t>
      </w:r>
      <w:r>
        <w:rPr>
          <w:rFonts w:ascii="微软雅黑" w:eastAsia="微软雅黑" w:hAnsi="微软雅黑" w:cs="Times New Roman" w:hint="eastAsia"/>
          <w:color w:val="504545"/>
          <w:szCs w:val="21"/>
        </w:rPr>
        <w:t>东方财富</w:t>
      </w:r>
      <w:r>
        <w:rPr>
          <w:rFonts w:ascii="微软雅黑" w:eastAsia="微软雅黑" w:hAnsi="微软雅黑" w:cs="Times New Roman"/>
          <w:color w:val="504545"/>
          <w:szCs w:val="21"/>
        </w:rPr>
        <w:t>”</w:t>
      </w:r>
      <w:r>
        <w:rPr>
          <w:rFonts w:ascii="微软雅黑" w:eastAsia="微软雅黑" w:hAnsi="微软雅黑" w:cs="Times New Roman"/>
          <w:color w:val="504545"/>
          <w:szCs w:val="21"/>
        </w:rPr>
        <w:t>）</w:t>
      </w:r>
      <w:r>
        <w:rPr>
          <w:rFonts w:ascii="微软雅黑" w:eastAsia="微软雅黑" w:hAnsi="微软雅黑" w:cs="Times New Roman" w:hint="eastAsia"/>
          <w:color w:val="504545"/>
          <w:szCs w:val="21"/>
        </w:rPr>
        <w:t>签署</w:t>
      </w:r>
      <w:r>
        <w:rPr>
          <w:rFonts w:ascii="微软雅黑" w:eastAsia="微软雅黑" w:hAnsi="微软雅黑" w:cs="Times New Roman"/>
          <w:color w:val="504545"/>
          <w:szCs w:val="21"/>
        </w:rPr>
        <w:t>的</w:t>
      </w:r>
      <w:r>
        <w:rPr>
          <w:rFonts w:ascii="微软雅黑" w:eastAsia="微软雅黑" w:hAnsi="微软雅黑" w:cs="Times New Roman" w:hint="eastAsia"/>
          <w:color w:val="504545"/>
          <w:szCs w:val="21"/>
        </w:rPr>
        <w:t>销售</w:t>
      </w:r>
      <w:r>
        <w:rPr>
          <w:rFonts w:ascii="微软雅黑" w:eastAsia="微软雅黑" w:hAnsi="微软雅黑" w:cs="Times New Roman"/>
          <w:color w:val="504545"/>
          <w:szCs w:val="21"/>
        </w:rPr>
        <w:t>代理</w:t>
      </w:r>
      <w:r>
        <w:rPr>
          <w:rFonts w:ascii="微软雅黑" w:eastAsia="微软雅黑" w:hAnsi="微软雅黑" w:cs="Times New Roman" w:hint="eastAsia"/>
          <w:color w:val="504545"/>
          <w:szCs w:val="21"/>
        </w:rPr>
        <w:t>协议，经协商</w:t>
      </w:r>
      <w:r>
        <w:rPr>
          <w:rFonts w:ascii="微软雅黑" w:eastAsia="微软雅黑" w:hAnsi="微软雅黑" w:cs="Times New Roman"/>
          <w:color w:val="504545"/>
          <w:szCs w:val="21"/>
        </w:rPr>
        <w:t>一致，自</w:t>
      </w:r>
      <w:r>
        <w:rPr>
          <w:rFonts w:ascii="微软雅黑" w:eastAsia="微软雅黑" w:hAnsi="微软雅黑" w:cs="Times New Roman" w:hint="eastAsia"/>
          <w:color w:val="504545"/>
          <w:szCs w:val="21"/>
        </w:rPr>
        <w:t>201</w:t>
      </w:r>
      <w:r>
        <w:rPr>
          <w:rFonts w:ascii="微软雅黑" w:eastAsia="微软雅黑" w:hAnsi="微软雅黑" w:cs="Times New Roman"/>
          <w:color w:val="504545"/>
          <w:szCs w:val="21"/>
        </w:rPr>
        <w:t>8</w:t>
      </w:r>
      <w:r>
        <w:rPr>
          <w:rFonts w:ascii="微软雅黑" w:eastAsia="微软雅黑" w:hAnsi="微软雅黑" w:cs="Times New Roman" w:hint="eastAsia"/>
          <w:color w:val="504545"/>
          <w:szCs w:val="21"/>
        </w:rPr>
        <w:t>年</w:t>
      </w:r>
      <w:r>
        <w:rPr>
          <w:rFonts w:ascii="微软雅黑" w:eastAsia="微软雅黑" w:hAnsi="微软雅黑" w:cs="Times New Roman"/>
          <w:color w:val="504545"/>
          <w:szCs w:val="21"/>
        </w:rPr>
        <w:t>8</w:t>
      </w:r>
      <w:r>
        <w:rPr>
          <w:rFonts w:ascii="微软雅黑" w:eastAsia="微软雅黑" w:hAnsi="微软雅黑" w:cs="Times New Roman" w:hint="eastAsia"/>
          <w:color w:val="504545"/>
          <w:szCs w:val="21"/>
        </w:rPr>
        <w:t>月</w:t>
      </w:r>
      <w:r>
        <w:rPr>
          <w:rFonts w:ascii="微软雅黑" w:eastAsia="微软雅黑" w:hAnsi="微软雅黑" w:cs="Times New Roman" w:hint="eastAsia"/>
          <w:color w:val="504545"/>
          <w:szCs w:val="21"/>
        </w:rPr>
        <w:t>30</w:t>
      </w:r>
      <w:r>
        <w:rPr>
          <w:rFonts w:ascii="微软雅黑" w:eastAsia="微软雅黑" w:hAnsi="微软雅黑" w:cs="Times New Roman" w:hint="eastAsia"/>
          <w:color w:val="504545"/>
          <w:szCs w:val="21"/>
        </w:rPr>
        <w:t>日起</w:t>
      </w:r>
      <w:r>
        <w:rPr>
          <w:rFonts w:ascii="微软雅黑" w:eastAsia="微软雅黑" w:hAnsi="微软雅黑" w:cs="Times New Roman"/>
          <w:color w:val="504545"/>
          <w:szCs w:val="21"/>
        </w:rPr>
        <w:t>，</w:t>
      </w:r>
      <w:r>
        <w:rPr>
          <w:rFonts w:ascii="微软雅黑" w:eastAsia="微软雅黑" w:hAnsi="微软雅黑" w:cs="Times New Roman" w:hint="eastAsia"/>
          <w:color w:val="504545"/>
          <w:szCs w:val="21"/>
        </w:rPr>
        <w:t>投资者可在东方财富办理本公司旗下的开户、认</w:t>
      </w:r>
      <w:r>
        <w:rPr>
          <w:rFonts w:ascii="微软雅黑" w:eastAsia="微软雅黑" w:hAnsi="微软雅黑" w:cs="Times New Roman" w:hint="eastAsia"/>
          <w:color w:val="504545"/>
          <w:szCs w:val="21"/>
        </w:rPr>
        <w:t>/</w:t>
      </w:r>
      <w:r>
        <w:rPr>
          <w:rFonts w:ascii="微软雅黑" w:eastAsia="微软雅黑" w:hAnsi="微软雅黑" w:cs="Times New Roman" w:hint="eastAsia"/>
          <w:color w:val="504545"/>
          <w:szCs w:val="21"/>
        </w:rPr>
        <w:t>申购</w:t>
      </w:r>
      <w:r>
        <w:rPr>
          <w:rFonts w:ascii="微软雅黑" w:eastAsia="微软雅黑" w:hAnsi="微软雅黑" w:cs="Times New Roman" w:hint="eastAsia"/>
          <w:color w:val="504545"/>
          <w:szCs w:val="21"/>
        </w:rPr>
        <w:t>、赎回、转换等业务，同时参与东方财富费率</w:t>
      </w:r>
      <w:r>
        <w:rPr>
          <w:rFonts w:ascii="微软雅黑" w:eastAsia="微软雅黑" w:hAnsi="微软雅黑" w:cs="Times New Roman"/>
          <w:color w:val="504545"/>
          <w:szCs w:val="21"/>
        </w:rPr>
        <w:t>优惠活动</w:t>
      </w:r>
      <w:r>
        <w:rPr>
          <w:rFonts w:ascii="微软雅黑" w:eastAsia="微软雅黑" w:hAnsi="微软雅黑" w:cs="Times New Roman" w:hint="eastAsia"/>
          <w:color w:val="504545"/>
          <w:szCs w:val="21"/>
        </w:rPr>
        <w:t>。</w:t>
      </w:r>
      <w:r>
        <w:rPr>
          <w:rFonts w:ascii="微软雅黑" w:eastAsia="微软雅黑" w:hAnsi="微软雅黑" w:cs="Times New Roman"/>
          <w:color w:val="504545"/>
          <w:szCs w:val="21"/>
        </w:rPr>
        <w:t>现将</w:t>
      </w:r>
      <w:r>
        <w:rPr>
          <w:rFonts w:ascii="微软雅黑" w:eastAsia="微软雅黑" w:hAnsi="微软雅黑" w:cs="Times New Roman" w:hint="eastAsia"/>
          <w:color w:val="504545"/>
          <w:szCs w:val="21"/>
        </w:rPr>
        <w:t>相关</w:t>
      </w:r>
      <w:r>
        <w:rPr>
          <w:rFonts w:ascii="微软雅黑" w:eastAsia="微软雅黑" w:hAnsi="微软雅黑" w:cs="Times New Roman"/>
          <w:color w:val="504545"/>
          <w:szCs w:val="21"/>
        </w:rPr>
        <w:t>事项公告如下：</w:t>
      </w:r>
    </w:p>
    <w:p w:rsidR="00F52E98" w:rsidRDefault="00C14D70">
      <w:pPr>
        <w:pStyle w:val="aa"/>
        <w:numPr>
          <w:ilvl w:val="0"/>
          <w:numId w:val="1"/>
        </w:numPr>
        <w:spacing w:line="360" w:lineRule="auto"/>
        <w:ind w:firstLineChars="0"/>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适用</w:t>
      </w:r>
      <w:r>
        <w:rPr>
          <w:rFonts w:ascii="微软雅黑" w:eastAsia="微软雅黑" w:hAnsi="微软雅黑" w:cs="Times New Roman"/>
          <w:color w:val="504545"/>
          <w:szCs w:val="21"/>
        </w:rPr>
        <w:t>基金</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w:t>
      </w:r>
      <w:proofErr w:type="gramStart"/>
      <w:r>
        <w:rPr>
          <w:rFonts w:ascii="微软雅黑" w:eastAsia="微软雅黑" w:hAnsi="微软雅黑" w:hint="eastAsia"/>
          <w:color w:val="504545"/>
          <w:szCs w:val="21"/>
        </w:rPr>
        <w:t>瑞丰宜投宝</w:t>
      </w:r>
      <w:proofErr w:type="gramEnd"/>
      <w:r>
        <w:rPr>
          <w:rFonts w:ascii="微软雅黑" w:eastAsia="微软雅黑" w:hAnsi="微软雅黑" w:hint="eastAsia"/>
          <w:color w:val="504545"/>
          <w:szCs w:val="21"/>
        </w:rPr>
        <w:t>货币市场基金</w:t>
      </w:r>
      <w:r>
        <w:rPr>
          <w:rFonts w:ascii="微软雅黑" w:eastAsia="微软雅黑" w:hAnsi="微软雅黑" w:hint="eastAsia"/>
          <w:color w:val="504545"/>
          <w:szCs w:val="21"/>
        </w:rPr>
        <w:t>A</w:t>
      </w:r>
      <w:r>
        <w:rPr>
          <w:rFonts w:ascii="微软雅黑" w:eastAsia="微软雅黑" w:hAnsi="微软雅黑" w:hint="eastAsia"/>
          <w:color w:val="504545"/>
          <w:szCs w:val="21"/>
        </w:rPr>
        <w:t>、</w:t>
      </w:r>
      <w:r>
        <w:rPr>
          <w:rFonts w:ascii="微软雅黑" w:eastAsia="微软雅黑" w:hAnsi="微软雅黑" w:hint="eastAsia"/>
          <w:color w:val="504545"/>
          <w:szCs w:val="21"/>
        </w:rPr>
        <w:t>B</w:t>
      </w:r>
      <w:r>
        <w:rPr>
          <w:rFonts w:ascii="微软雅黑" w:eastAsia="微软雅黑" w:hAnsi="微软雅黑" w:hint="eastAsia"/>
          <w:color w:val="504545"/>
          <w:szCs w:val="21"/>
        </w:rPr>
        <w:t>（基金代码：</w:t>
      </w:r>
      <w:r>
        <w:rPr>
          <w:rFonts w:ascii="微软雅黑" w:eastAsia="微软雅黑" w:hAnsi="微软雅黑" w:hint="eastAsia"/>
          <w:color w:val="504545"/>
          <w:szCs w:val="21"/>
        </w:rPr>
        <w:t>000871</w:t>
      </w:r>
      <w:r>
        <w:rPr>
          <w:rFonts w:ascii="微软雅黑" w:eastAsia="微软雅黑" w:hAnsi="微软雅黑" w:hint="eastAsia"/>
          <w:color w:val="504545"/>
          <w:szCs w:val="21"/>
        </w:rPr>
        <w:t>、</w:t>
      </w:r>
      <w:r>
        <w:rPr>
          <w:rFonts w:ascii="微软雅黑" w:eastAsia="微软雅黑" w:hAnsi="微软雅黑" w:hint="eastAsia"/>
          <w:color w:val="504545"/>
          <w:szCs w:val="21"/>
        </w:rPr>
        <w:t>000872</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北信瑞丰现金添利货币市场基金</w:t>
      </w:r>
      <w:r>
        <w:rPr>
          <w:rFonts w:ascii="微软雅黑" w:eastAsia="微软雅黑" w:hAnsi="微软雅黑" w:hint="eastAsia"/>
          <w:color w:val="504545"/>
          <w:szCs w:val="21"/>
        </w:rPr>
        <w:t>A</w:t>
      </w:r>
      <w:r>
        <w:rPr>
          <w:rFonts w:ascii="微软雅黑" w:eastAsia="微软雅黑" w:hAnsi="微软雅黑" w:hint="eastAsia"/>
          <w:color w:val="504545"/>
          <w:szCs w:val="21"/>
        </w:rPr>
        <w:t>、</w:t>
      </w:r>
      <w:r>
        <w:rPr>
          <w:rFonts w:ascii="微软雅黑" w:eastAsia="微软雅黑" w:hAnsi="微软雅黑" w:hint="eastAsia"/>
          <w:color w:val="504545"/>
          <w:szCs w:val="21"/>
        </w:rPr>
        <w:t>B</w:t>
      </w:r>
      <w:r>
        <w:rPr>
          <w:rFonts w:ascii="微软雅黑" w:eastAsia="微软雅黑" w:hAnsi="微软雅黑" w:hint="eastAsia"/>
          <w:color w:val="504545"/>
          <w:szCs w:val="21"/>
        </w:rPr>
        <w:t>（基金代码：</w:t>
      </w:r>
      <w:r>
        <w:rPr>
          <w:rFonts w:ascii="微软雅黑" w:eastAsia="微软雅黑" w:hAnsi="微软雅黑" w:hint="eastAsia"/>
          <w:color w:val="504545"/>
          <w:szCs w:val="21"/>
        </w:rPr>
        <w:t>000981</w:t>
      </w:r>
      <w:r>
        <w:rPr>
          <w:rFonts w:ascii="微软雅黑" w:eastAsia="微软雅黑" w:hAnsi="微软雅黑" w:hint="eastAsia"/>
          <w:color w:val="504545"/>
          <w:szCs w:val="21"/>
        </w:rPr>
        <w:t>、</w:t>
      </w:r>
      <w:r>
        <w:rPr>
          <w:rFonts w:ascii="微软雅黑" w:eastAsia="微软雅黑" w:hAnsi="微软雅黑" w:hint="eastAsia"/>
          <w:color w:val="504545"/>
          <w:szCs w:val="21"/>
        </w:rPr>
        <w:t>000982</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北信瑞丰稳定收益债券型证券投资基金</w:t>
      </w:r>
      <w:r>
        <w:rPr>
          <w:rFonts w:ascii="微软雅黑" w:eastAsia="微软雅黑" w:hAnsi="微软雅黑" w:hint="eastAsia"/>
          <w:color w:val="504545"/>
          <w:szCs w:val="21"/>
        </w:rPr>
        <w:t>A</w:t>
      </w:r>
      <w:r>
        <w:rPr>
          <w:rFonts w:ascii="微软雅黑" w:eastAsia="微软雅黑" w:hAnsi="微软雅黑" w:hint="eastAsia"/>
          <w:color w:val="504545"/>
          <w:szCs w:val="21"/>
        </w:rPr>
        <w:t>、</w:t>
      </w:r>
      <w:r>
        <w:rPr>
          <w:rFonts w:ascii="微软雅黑" w:eastAsia="微软雅黑" w:hAnsi="微软雅黑" w:hint="eastAsia"/>
          <w:color w:val="504545"/>
          <w:szCs w:val="21"/>
        </w:rPr>
        <w:t>C</w:t>
      </w:r>
      <w:r>
        <w:rPr>
          <w:rFonts w:ascii="微软雅黑" w:eastAsia="微软雅黑" w:hAnsi="微软雅黑" w:hint="eastAsia"/>
          <w:color w:val="504545"/>
          <w:szCs w:val="21"/>
        </w:rPr>
        <w:t>（基金代码：</w:t>
      </w:r>
      <w:r>
        <w:rPr>
          <w:rFonts w:ascii="微软雅黑" w:eastAsia="微软雅黑" w:hAnsi="微软雅黑" w:hint="eastAsia"/>
          <w:color w:val="504545"/>
          <w:szCs w:val="21"/>
        </w:rPr>
        <w:t>000744</w:t>
      </w:r>
      <w:r>
        <w:rPr>
          <w:rFonts w:ascii="微软雅黑" w:eastAsia="微软雅黑" w:hAnsi="微软雅黑" w:hint="eastAsia"/>
          <w:color w:val="504545"/>
          <w:szCs w:val="21"/>
        </w:rPr>
        <w:t>、</w:t>
      </w:r>
      <w:r>
        <w:rPr>
          <w:rFonts w:ascii="微软雅黑" w:eastAsia="微软雅黑" w:hAnsi="微软雅黑" w:hint="eastAsia"/>
          <w:color w:val="504545"/>
          <w:szCs w:val="21"/>
        </w:rPr>
        <w:t>000745</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北信瑞丰健康生活主题灵活配置混合型证券投资基金（基金代码：</w:t>
      </w:r>
      <w:r>
        <w:rPr>
          <w:rFonts w:ascii="微软雅黑" w:eastAsia="微软雅黑" w:hAnsi="微软雅黑" w:hint="eastAsia"/>
          <w:color w:val="504545"/>
          <w:szCs w:val="21"/>
        </w:rPr>
        <w:t>001056</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北信瑞丰平安中国主题灵活配置混合型证券投资基金（基金代码：</w:t>
      </w:r>
      <w:r>
        <w:rPr>
          <w:rFonts w:ascii="微软雅黑" w:eastAsia="微软雅黑" w:hAnsi="微软雅黑" w:hint="eastAsia"/>
          <w:color w:val="504545"/>
          <w:szCs w:val="21"/>
        </w:rPr>
        <w:t>001154</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北信瑞丰新成长灵活配置混合型证券投资基金（基金代码：</w:t>
      </w:r>
      <w:r>
        <w:rPr>
          <w:rFonts w:ascii="微软雅黑" w:eastAsia="微软雅黑" w:hAnsi="微软雅黑" w:hint="eastAsia"/>
          <w:color w:val="504545"/>
          <w:szCs w:val="21"/>
        </w:rPr>
        <w:t>001866</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北信瑞丰稳定</w:t>
      </w:r>
      <w:proofErr w:type="gramStart"/>
      <w:r>
        <w:rPr>
          <w:rFonts w:ascii="微软雅黑" w:eastAsia="微软雅黑" w:hAnsi="微软雅黑" w:hint="eastAsia"/>
          <w:color w:val="504545"/>
          <w:szCs w:val="21"/>
        </w:rPr>
        <w:t>增强偏债混合型</w:t>
      </w:r>
      <w:proofErr w:type="gramEnd"/>
      <w:r>
        <w:rPr>
          <w:rFonts w:ascii="微软雅黑" w:eastAsia="微软雅黑" w:hAnsi="微软雅黑" w:hint="eastAsia"/>
          <w:color w:val="504545"/>
          <w:szCs w:val="21"/>
        </w:rPr>
        <w:t>证券投资基金（基金代码：</w:t>
      </w:r>
      <w:r>
        <w:rPr>
          <w:rFonts w:ascii="微软雅黑" w:eastAsia="微软雅黑" w:hAnsi="微软雅黑" w:hint="eastAsia"/>
          <w:color w:val="504545"/>
          <w:szCs w:val="21"/>
        </w:rPr>
        <w:t>002194</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北信瑞丰外延增长主题灵活配置混合型发起式证券投资基金（基金代</w:t>
      </w:r>
      <w:r>
        <w:rPr>
          <w:rFonts w:ascii="微软雅黑" w:eastAsia="微软雅黑" w:hAnsi="微软雅黑" w:hint="eastAsia"/>
          <w:color w:val="504545"/>
          <w:szCs w:val="21"/>
        </w:rPr>
        <w:t>码：</w:t>
      </w:r>
      <w:r>
        <w:rPr>
          <w:rFonts w:ascii="微软雅黑" w:eastAsia="微软雅黑" w:hAnsi="微软雅黑" w:hint="eastAsia"/>
          <w:color w:val="504545"/>
          <w:szCs w:val="21"/>
        </w:rPr>
        <w:t>002123</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北信瑞丰中国智</w:t>
      </w:r>
      <w:proofErr w:type="gramStart"/>
      <w:r>
        <w:rPr>
          <w:rFonts w:ascii="微软雅黑" w:eastAsia="微软雅黑" w:hAnsi="微软雅黑" w:hint="eastAsia"/>
          <w:color w:val="504545"/>
          <w:szCs w:val="21"/>
        </w:rPr>
        <w:t>造主题</w:t>
      </w:r>
      <w:proofErr w:type="gramEnd"/>
      <w:r>
        <w:rPr>
          <w:rFonts w:ascii="微软雅黑" w:eastAsia="微软雅黑" w:hAnsi="微软雅黑" w:hint="eastAsia"/>
          <w:color w:val="504545"/>
          <w:szCs w:val="21"/>
        </w:rPr>
        <w:t>灵活配置混合型证券投资基金（基金代码：</w:t>
      </w:r>
      <w:r>
        <w:rPr>
          <w:rFonts w:ascii="微软雅黑" w:eastAsia="微软雅黑" w:hAnsi="微软雅黑" w:hint="eastAsia"/>
          <w:color w:val="504545"/>
          <w:szCs w:val="21"/>
        </w:rPr>
        <w:t>001829</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北信瑞丰丰利保本混合型证券投资基金（基金代码：</w:t>
      </w:r>
      <w:r>
        <w:rPr>
          <w:rFonts w:ascii="微软雅黑" w:eastAsia="微软雅黑" w:hAnsi="微软雅黑" w:hint="eastAsia"/>
          <w:color w:val="504545"/>
          <w:szCs w:val="21"/>
        </w:rPr>
        <w:t>002745</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w:t>
      </w:r>
      <w:proofErr w:type="gramStart"/>
      <w:r>
        <w:rPr>
          <w:rFonts w:ascii="微软雅黑" w:eastAsia="微软雅黑" w:hAnsi="微软雅黑" w:hint="eastAsia"/>
          <w:color w:val="504545"/>
          <w:szCs w:val="21"/>
        </w:rPr>
        <w:t>丰产业</w:t>
      </w:r>
      <w:proofErr w:type="gramEnd"/>
      <w:r>
        <w:rPr>
          <w:rFonts w:ascii="微软雅黑" w:eastAsia="微软雅黑" w:hAnsi="微软雅黑" w:hint="eastAsia"/>
          <w:color w:val="504545"/>
          <w:szCs w:val="21"/>
        </w:rPr>
        <w:t>升级多策略混合型证券投资基金（基金代码：</w:t>
      </w:r>
      <w:r>
        <w:rPr>
          <w:rFonts w:ascii="微软雅黑" w:eastAsia="微软雅黑" w:hAnsi="微软雅黑" w:hint="eastAsia"/>
          <w:color w:val="504545"/>
          <w:szCs w:val="21"/>
        </w:rPr>
        <w:t>168501</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北信瑞丰研究精选股票型证券投资基金（基金代码：</w:t>
      </w:r>
      <w:r>
        <w:rPr>
          <w:rFonts w:ascii="微软雅黑" w:eastAsia="微软雅黑" w:hAnsi="微软雅黑" w:hint="eastAsia"/>
          <w:color w:val="504545"/>
          <w:szCs w:val="21"/>
        </w:rPr>
        <w:t>004352</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北信瑞丰增强回报定期开放混合型证券投资基金（基金代码：</w:t>
      </w:r>
      <w:r>
        <w:rPr>
          <w:rFonts w:ascii="微软雅黑" w:eastAsia="微软雅黑" w:hAnsi="微软雅黑" w:hint="eastAsia"/>
          <w:color w:val="504545"/>
          <w:szCs w:val="21"/>
        </w:rPr>
        <w:t>004165</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北信瑞丰兴瑞灵活配置混合型证券投资基金（基金代码：</w:t>
      </w:r>
      <w:r>
        <w:rPr>
          <w:rFonts w:ascii="微软雅黑" w:eastAsia="微软雅黑" w:hAnsi="微软雅黑" w:hint="eastAsia"/>
          <w:color w:val="504545"/>
          <w:szCs w:val="21"/>
        </w:rPr>
        <w:t>004829</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lastRenderedPageBreak/>
        <w:tab/>
      </w:r>
      <w:r>
        <w:rPr>
          <w:rFonts w:ascii="微软雅黑" w:eastAsia="微软雅黑" w:hAnsi="微软雅黑" w:hint="eastAsia"/>
          <w:color w:val="504545"/>
          <w:szCs w:val="21"/>
        </w:rPr>
        <w:t>北信</w:t>
      </w:r>
      <w:proofErr w:type="gramStart"/>
      <w:r>
        <w:rPr>
          <w:rFonts w:ascii="微软雅黑" w:eastAsia="微软雅黑" w:hAnsi="微软雅黑" w:hint="eastAsia"/>
          <w:color w:val="504545"/>
          <w:szCs w:val="21"/>
        </w:rPr>
        <w:t>瑞丰鼎利债券</w:t>
      </w:r>
      <w:proofErr w:type="gramEnd"/>
      <w:r>
        <w:rPr>
          <w:rFonts w:ascii="微软雅黑" w:eastAsia="微软雅黑" w:hAnsi="微软雅黑" w:hint="eastAsia"/>
          <w:color w:val="504545"/>
          <w:szCs w:val="21"/>
        </w:rPr>
        <w:t>型证券投资基金</w:t>
      </w:r>
      <w:r>
        <w:rPr>
          <w:rFonts w:ascii="微软雅黑" w:eastAsia="微软雅黑" w:hAnsi="微软雅黑" w:hint="eastAsia"/>
          <w:color w:val="504545"/>
          <w:szCs w:val="21"/>
        </w:rPr>
        <w:t>A</w:t>
      </w:r>
      <w:r>
        <w:rPr>
          <w:rFonts w:ascii="微软雅黑" w:eastAsia="微软雅黑" w:hAnsi="微软雅黑" w:hint="eastAsia"/>
          <w:color w:val="504545"/>
          <w:szCs w:val="21"/>
        </w:rPr>
        <w:t>、</w:t>
      </w:r>
      <w:r>
        <w:rPr>
          <w:rFonts w:ascii="微软雅黑" w:eastAsia="微软雅黑" w:hAnsi="微软雅黑" w:hint="eastAsia"/>
          <w:color w:val="504545"/>
          <w:szCs w:val="21"/>
        </w:rPr>
        <w:t>C</w:t>
      </w:r>
      <w:r>
        <w:rPr>
          <w:rFonts w:ascii="微软雅黑" w:eastAsia="微软雅黑" w:hAnsi="微软雅黑" w:hint="eastAsia"/>
          <w:color w:val="504545"/>
          <w:szCs w:val="21"/>
        </w:rPr>
        <w:t>（基金代码：</w:t>
      </w:r>
      <w:r>
        <w:rPr>
          <w:rFonts w:ascii="微软雅黑" w:eastAsia="微软雅黑" w:hAnsi="微软雅黑" w:hint="eastAsia"/>
          <w:color w:val="504545"/>
          <w:szCs w:val="21"/>
        </w:rPr>
        <w:t>004564</w:t>
      </w:r>
      <w:r>
        <w:rPr>
          <w:rFonts w:ascii="微软雅黑" w:eastAsia="微软雅黑" w:hAnsi="微软雅黑" w:hint="eastAsia"/>
          <w:color w:val="504545"/>
          <w:szCs w:val="21"/>
        </w:rPr>
        <w:t>、</w:t>
      </w:r>
      <w:r>
        <w:rPr>
          <w:rFonts w:ascii="微软雅黑" w:eastAsia="微软雅黑" w:hAnsi="微软雅黑" w:hint="eastAsia"/>
          <w:color w:val="504545"/>
          <w:szCs w:val="21"/>
        </w:rPr>
        <w:t>005193</w:t>
      </w:r>
      <w:r>
        <w:rPr>
          <w:rFonts w:ascii="微软雅黑" w:eastAsia="微软雅黑" w:hAnsi="微软雅黑" w:hint="eastAsia"/>
          <w:color w:val="504545"/>
          <w:szCs w:val="21"/>
        </w:rPr>
        <w:t>）</w:t>
      </w:r>
    </w:p>
    <w:p w:rsidR="00F52E98" w:rsidRDefault="00C14D70">
      <w:pPr>
        <w:spacing w:line="360" w:lineRule="auto"/>
        <w:rPr>
          <w:rFonts w:ascii="微软雅黑" w:eastAsia="微软雅黑" w:hAnsi="微软雅黑"/>
          <w:color w:val="504545"/>
          <w:szCs w:val="21"/>
        </w:rPr>
      </w:pPr>
      <w:r>
        <w:rPr>
          <w:rFonts w:ascii="微软雅黑" w:eastAsia="微软雅黑" w:hAnsi="微软雅黑"/>
          <w:color w:val="504545"/>
          <w:szCs w:val="21"/>
        </w:rPr>
        <w:tab/>
      </w:r>
      <w:r>
        <w:rPr>
          <w:rFonts w:ascii="微软雅黑" w:eastAsia="微软雅黑" w:hAnsi="微软雅黑" w:hint="eastAsia"/>
          <w:color w:val="504545"/>
          <w:szCs w:val="21"/>
        </w:rPr>
        <w:t>北信瑞丰华丰灵活配置混合型证券投资基金（基金代码：</w:t>
      </w:r>
      <w:r>
        <w:rPr>
          <w:rFonts w:ascii="微软雅黑" w:eastAsia="微软雅黑" w:hAnsi="微软雅黑" w:hint="eastAsia"/>
          <w:color w:val="504545"/>
          <w:szCs w:val="21"/>
        </w:rPr>
        <w:t>005376</w:t>
      </w:r>
      <w:r>
        <w:rPr>
          <w:rFonts w:ascii="微软雅黑" w:eastAsia="微软雅黑" w:hAnsi="微软雅黑" w:hint="eastAsia"/>
          <w:color w:val="504545"/>
          <w:szCs w:val="21"/>
        </w:rPr>
        <w:t>）</w:t>
      </w:r>
    </w:p>
    <w:p w:rsidR="00F52E98" w:rsidRDefault="00C14D70">
      <w:pPr>
        <w:spacing w:line="360" w:lineRule="auto"/>
        <w:ind w:firstLineChars="200" w:firstLine="420"/>
        <w:rPr>
          <w:rFonts w:ascii="微软雅黑" w:eastAsia="微软雅黑" w:hAnsi="微软雅黑"/>
          <w:color w:val="504545"/>
          <w:szCs w:val="21"/>
        </w:rPr>
      </w:pPr>
      <w:r>
        <w:rPr>
          <w:rFonts w:ascii="微软雅黑" w:eastAsia="微软雅黑" w:hAnsi="微软雅黑" w:hint="eastAsia"/>
          <w:color w:val="504545"/>
          <w:szCs w:val="21"/>
        </w:rPr>
        <w:t>如本公司新增基金产品，自该产品认购期起，将自动进入东方财富代销产品中。产品的认申购费率折扣以代销</w:t>
      </w:r>
      <w:proofErr w:type="gramStart"/>
      <w:r>
        <w:rPr>
          <w:rFonts w:ascii="微软雅黑" w:eastAsia="微软雅黑" w:hAnsi="微软雅黑" w:hint="eastAsia"/>
          <w:color w:val="504545"/>
          <w:szCs w:val="21"/>
        </w:rPr>
        <w:t>机构东方</w:t>
      </w:r>
      <w:proofErr w:type="gramEnd"/>
      <w:r>
        <w:rPr>
          <w:rFonts w:ascii="微软雅黑" w:eastAsia="微软雅黑" w:hAnsi="微软雅黑" w:hint="eastAsia"/>
          <w:color w:val="504545"/>
          <w:szCs w:val="21"/>
        </w:rPr>
        <w:t>财富为准。</w:t>
      </w:r>
    </w:p>
    <w:p w:rsidR="00F52E98" w:rsidRDefault="00C14D70">
      <w:pPr>
        <w:spacing w:line="360" w:lineRule="auto"/>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二</w:t>
      </w:r>
      <w:r>
        <w:rPr>
          <w:rFonts w:ascii="微软雅黑" w:eastAsia="微软雅黑" w:hAnsi="微软雅黑" w:cs="Times New Roman"/>
          <w:color w:val="504545"/>
          <w:szCs w:val="21"/>
        </w:rPr>
        <w:t>、重要提示</w:t>
      </w:r>
    </w:p>
    <w:p w:rsidR="00F52E98" w:rsidRDefault="00C14D70">
      <w:pPr>
        <w:spacing w:line="360" w:lineRule="auto"/>
        <w:ind w:firstLineChars="200" w:firstLine="420"/>
        <w:rPr>
          <w:rFonts w:ascii="微软雅黑" w:eastAsia="微软雅黑" w:hAnsi="微软雅黑" w:cs="Times New Roman"/>
          <w:color w:val="504545"/>
          <w:szCs w:val="21"/>
        </w:rPr>
      </w:pPr>
      <w:r>
        <w:rPr>
          <w:rFonts w:ascii="微软雅黑" w:eastAsia="微软雅黑" w:hAnsi="微软雅黑" w:cs="Times New Roman"/>
          <w:color w:val="504545"/>
          <w:szCs w:val="21"/>
        </w:rPr>
        <w:t>上述申购赎回业务仅适用于处于正常申购期及处于开放日和开放时间的基金。基金募集期等特殊期间的有关规定详见对应基金的《基金合同》和《招募说明书》</w:t>
      </w:r>
      <w:r>
        <w:rPr>
          <w:rFonts w:ascii="微软雅黑" w:eastAsia="微软雅黑" w:hAnsi="微软雅黑" w:cs="Times New Roman"/>
          <w:color w:val="504545"/>
          <w:szCs w:val="21"/>
        </w:rPr>
        <w:t xml:space="preserve"> </w:t>
      </w:r>
      <w:r>
        <w:rPr>
          <w:rFonts w:ascii="微软雅黑" w:eastAsia="微软雅黑" w:hAnsi="微软雅黑" w:cs="Times New Roman"/>
          <w:color w:val="504545"/>
          <w:szCs w:val="21"/>
        </w:rPr>
        <w:t>等相关法律文件及本公司发布的最新业务公告</w:t>
      </w:r>
      <w:r>
        <w:rPr>
          <w:rFonts w:ascii="微软雅黑" w:eastAsia="微软雅黑" w:hAnsi="微软雅黑" w:cs="Times New Roman" w:hint="eastAsia"/>
          <w:color w:val="504545"/>
          <w:szCs w:val="21"/>
        </w:rPr>
        <w:t>。</w:t>
      </w:r>
    </w:p>
    <w:p w:rsidR="00F52E98" w:rsidRDefault="00C14D70">
      <w:pPr>
        <w:spacing w:line="360" w:lineRule="auto"/>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三、具体优惠内容</w:t>
      </w:r>
    </w:p>
    <w:p w:rsidR="00F52E98" w:rsidRDefault="00C14D70">
      <w:pPr>
        <w:spacing w:line="360" w:lineRule="auto"/>
        <w:ind w:firstLineChars="200" w:firstLine="420"/>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自</w:t>
      </w:r>
      <w:r>
        <w:rPr>
          <w:rFonts w:ascii="微软雅黑" w:eastAsia="微软雅黑" w:hAnsi="微软雅黑" w:cs="Times New Roman" w:hint="eastAsia"/>
          <w:color w:val="504545"/>
          <w:szCs w:val="21"/>
        </w:rPr>
        <w:t>2018</w:t>
      </w:r>
      <w:r>
        <w:rPr>
          <w:rFonts w:ascii="微软雅黑" w:eastAsia="微软雅黑" w:hAnsi="微软雅黑" w:cs="Times New Roman" w:hint="eastAsia"/>
          <w:color w:val="504545"/>
          <w:szCs w:val="21"/>
        </w:rPr>
        <w:t>年</w:t>
      </w:r>
      <w:r>
        <w:rPr>
          <w:rFonts w:ascii="微软雅黑" w:eastAsia="微软雅黑" w:hAnsi="微软雅黑" w:cs="Times New Roman"/>
          <w:color w:val="504545"/>
          <w:szCs w:val="21"/>
        </w:rPr>
        <w:t>8</w:t>
      </w:r>
      <w:r>
        <w:rPr>
          <w:rFonts w:ascii="微软雅黑" w:eastAsia="微软雅黑" w:hAnsi="微软雅黑" w:cs="Times New Roman" w:hint="eastAsia"/>
          <w:color w:val="504545"/>
          <w:szCs w:val="21"/>
        </w:rPr>
        <w:t>月</w:t>
      </w:r>
      <w:r>
        <w:rPr>
          <w:rFonts w:ascii="微软雅黑" w:eastAsia="微软雅黑" w:hAnsi="微软雅黑" w:cs="Times New Roman" w:hint="eastAsia"/>
          <w:color w:val="504545"/>
          <w:szCs w:val="21"/>
        </w:rPr>
        <w:t>30</w:t>
      </w:r>
      <w:r>
        <w:rPr>
          <w:rFonts w:ascii="微软雅黑" w:eastAsia="微软雅黑" w:hAnsi="微软雅黑" w:cs="Times New Roman" w:hint="eastAsia"/>
          <w:color w:val="504545"/>
          <w:szCs w:val="21"/>
        </w:rPr>
        <w:t>日起</w:t>
      </w:r>
      <w:r>
        <w:rPr>
          <w:rFonts w:ascii="微软雅黑" w:eastAsia="微软雅黑" w:hAnsi="微软雅黑" w:cs="Times New Roman" w:hint="eastAsia"/>
          <w:color w:val="504545"/>
          <w:szCs w:val="21"/>
        </w:rPr>
        <w:t>,</w:t>
      </w:r>
      <w:r>
        <w:rPr>
          <w:rFonts w:ascii="微软雅黑" w:eastAsia="微软雅黑" w:hAnsi="微软雅黑" w:cs="Times New Roman" w:hint="eastAsia"/>
          <w:color w:val="504545"/>
          <w:szCs w:val="21"/>
        </w:rPr>
        <w:t>投资者通过东方财富认</w:t>
      </w:r>
      <w:r>
        <w:rPr>
          <w:rFonts w:ascii="微软雅黑" w:eastAsia="微软雅黑" w:hAnsi="微软雅黑" w:cs="Times New Roman" w:hint="eastAsia"/>
          <w:color w:val="504545"/>
          <w:szCs w:val="21"/>
        </w:rPr>
        <w:t>/</w:t>
      </w:r>
      <w:r>
        <w:rPr>
          <w:rFonts w:ascii="微软雅黑" w:eastAsia="微软雅黑" w:hAnsi="微软雅黑" w:cs="Times New Roman" w:hint="eastAsia"/>
          <w:color w:val="504545"/>
          <w:szCs w:val="21"/>
        </w:rPr>
        <w:t>申购</w:t>
      </w:r>
      <w:r>
        <w:rPr>
          <w:rFonts w:ascii="微软雅黑" w:eastAsia="微软雅黑" w:hAnsi="微软雅黑" w:cs="Times New Roman" w:hint="eastAsia"/>
          <w:color w:val="504545"/>
          <w:szCs w:val="21"/>
        </w:rPr>
        <w:t>上述基金，</w:t>
      </w:r>
      <w:proofErr w:type="gramStart"/>
      <w:r>
        <w:rPr>
          <w:rFonts w:ascii="微软雅黑" w:eastAsia="微软雅黑" w:hAnsi="微软雅黑" w:cs="Times New Roman" w:hint="eastAsia"/>
          <w:color w:val="504545"/>
          <w:szCs w:val="21"/>
        </w:rPr>
        <w:t>其认</w:t>
      </w:r>
      <w:proofErr w:type="gramEnd"/>
      <w:r>
        <w:rPr>
          <w:rFonts w:ascii="微软雅黑" w:eastAsia="微软雅黑" w:hAnsi="微软雅黑" w:cs="Times New Roman" w:hint="eastAsia"/>
          <w:color w:val="504545"/>
          <w:szCs w:val="21"/>
        </w:rPr>
        <w:t>/</w:t>
      </w:r>
      <w:r>
        <w:rPr>
          <w:rFonts w:ascii="微软雅黑" w:eastAsia="微软雅黑" w:hAnsi="微软雅黑" w:cs="Times New Roman" w:hint="eastAsia"/>
          <w:color w:val="504545"/>
          <w:szCs w:val="21"/>
        </w:rPr>
        <w:t>申购</w:t>
      </w:r>
      <w:r>
        <w:rPr>
          <w:rFonts w:ascii="微软雅黑" w:eastAsia="微软雅黑" w:hAnsi="微软雅黑" w:cs="Times New Roman" w:hint="eastAsia"/>
          <w:color w:val="504545"/>
          <w:szCs w:val="21"/>
        </w:rPr>
        <w:t>费率不设折扣限制（原申购费率为固定费用的除外</w:t>
      </w:r>
      <w:r>
        <w:rPr>
          <w:rFonts w:ascii="微软雅黑" w:eastAsia="微软雅黑" w:hAnsi="微软雅黑" w:cs="Times New Roman" w:hint="eastAsia"/>
          <w:color w:val="504545"/>
          <w:szCs w:val="21"/>
        </w:rPr>
        <w:t>)</w:t>
      </w:r>
      <w:r>
        <w:rPr>
          <w:rFonts w:ascii="微软雅黑" w:eastAsia="微软雅黑" w:hAnsi="微软雅黑" w:cs="Times New Roman" w:hint="eastAsia"/>
          <w:color w:val="504545"/>
          <w:szCs w:val="21"/>
        </w:rPr>
        <w:t>，具体以东方财富公告为准。各基金原费率详见基金合同、招募说明书（更新）等法律文件，以及本公司发布的最新业务公告。费率优惠期限内，若本公司新增通过东方财富销售的基金产品，则自该基金产品开放认</w:t>
      </w:r>
      <w:r>
        <w:rPr>
          <w:rFonts w:ascii="微软雅黑" w:eastAsia="微软雅黑" w:hAnsi="微软雅黑" w:cs="Times New Roman" w:hint="eastAsia"/>
          <w:color w:val="504545"/>
          <w:szCs w:val="21"/>
        </w:rPr>
        <w:t>/</w:t>
      </w:r>
      <w:r>
        <w:rPr>
          <w:rFonts w:ascii="微软雅黑" w:eastAsia="微软雅黑" w:hAnsi="微软雅黑" w:cs="Times New Roman" w:hint="eastAsia"/>
          <w:color w:val="504545"/>
          <w:szCs w:val="21"/>
        </w:rPr>
        <w:t>申购当日起，将同时开通上述费率优惠。</w:t>
      </w:r>
    </w:p>
    <w:p w:rsidR="00F52E98" w:rsidRDefault="00C14D70">
      <w:pPr>
        <w:spacing w:line="360" w:lineRule="auto"/>
        <w:ind w:firstLineChars="200" w:firstLine="420"/>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自</w:t>
      </w:r>
      <w:r>
        <w:rPr>
          <w:rFonts w:ascii="微软雅黑" w:eastAsia="微软雅黑" w:hAnsi="微软雅黑" w:cs="Times New Roman" w:hint="eastAsia"/>
          <w:color w:val="504545"/>
          <w:szCs w:val="21"/>
        </w:rPr>
        <w:t>2018</w:t>
      </w:r>
      <w:r>
        <w:rPr>
          <w:rFonts w:ascii="微软雅黑" w:eastAsia="微软雅黑" w:hAnsi="微软雅黑" w:cs="Times New Roman" w:hint="eastAsia"/>
          <w:color w:val="504545"/>
          <w:szCs w:val="21"/>
        </w:rPr>
        <w:t>年</w:t>
      </w:r>
      <w:r>
        <w:rPr>
          <w:rFonts w:ascii="微软雅黑" w:eastAsia="微软雅黑" w:hAnsi="微软雅黑" w:cs="Times New Roman"/>
          <w:color w:val="504545"/>
          <w:szCs w:val="21"/>
        </w:rPr>
        <w:t>8</w:t>
      </w:r>
      <w:r>
        <w:rPr>
          <w:rFonts w:ascii="微软雅黑" w:eastAsia="微软雅黑" w:hAnsi="微软雅黑" w:cs="Times New Roman" w:hint="eastAsia"/>
          <w:color w:val="504545"/>
          <w:szCs w:val="21"/>
        </w:rPr>
        <w:t>月</w:t>
      </w:r>
      <w:r>
        <w:rPr>
          <w:rFonts w:ascii="微软雅黑" w:eastAsia="微软雅黑" w:hAnsi="微软雅黑" w:cs="Times New Roman" w:hint="eastAsia"/>
          <w:color w:val="504545"/>
          <w:szCs w:val="21"/>
        </w:rPr>
        <w:t>30</w:t>
      </w:r>
      <w:r>
        <w:rPr>
          <w:rFonts w:ascii="微软雅黑" w:eastAsia="微软雅黑" w:hAnsi="微软雅黑" w:cs="Times New Roman" w:hint="eastAsia"/>
          <w:color w:val="504545"/>
          <w:szCs w:val="21"/>
        </w:rPr>
        <w:t>日起</w:t>
      </w:r>
      <w:r>
        <w:rPr>
          <w:rFonts w:ascii="微软雅黑" w:eastAsia="微软雅黑" w:hAnsi="微软雅黑" w:cs="Times New Roman" w:hint="eastAsia"/>
          <w:color w:val="504545"/>
          <w:szCs w:val="21"/>
        </w:rPr>
        <w:t>,</w:t>
      </w:r>
      <w:r>
        <w:rPr>
          <w:rFonts w:ascii="微软雅黑" w:eastAsia="微软雅黑" w:hAnsi="微软雅黑" w:cs="Times New Roman" w:hint="eastAsia"/>
          <w:color w:val="504545"/>
          <w:szCs w:val="21"/>
        </w:rPr>
        <w:t>投资者通过东方财富办理上述基金转换业务时</w:t>
      </w:r>
      <w:r>
        <w:rPr>
          <w:rFonts w:ascii="微软雅黑" w:eastAsia="微软雅黑" w:hAnsi="微软雅黑" w:cs="Times New Roman" w:hint="eastAsia"/>
          <w:color w:val="504545"/>
          <w:szCs w:val="21"/>
        </w:rPr>
        <w:t>,</w:t>
      </w:r>
      <w:r>
        <w:rPr>
          <w:rFonts w:ascii="微软雅黑" w:eastAsia="微软雅黑" w:hAnsi="微软雅黑" w:cs="Times New Roman" w:hint="eastAsia"/>
          <w:color w:val="504545"/>
          <w:szCs w:val="21"/>
        </w:rPr>
        <w:t>其申购补差费率实行费率优惠活动（原申购补差费率为固定费用的除外）</w:t>
      </w:r>
      <w:r>
        <w:rPr>
          <w:rFonts w:ascii="微软雅黑" w:eastAsia="微软雅黑" w:hAnsi="微软雅黑" w:cs="Times New Roman"/>
          <w:color w:val="504545"/>
          <w:szCs w:val="21"/>
        </w:rPr>
        <w:t>，</w:t>
      </w:r>
      <w:r>
        <w:rPr>
          <w:rFonts w:ascii="微软雅黑" w:eastAsia="微软雅黑" w:hAnsi="微软雅黑" w:cs="Times New Roman" w:hint="eastAsia"/>
          <w:color w:val="504545"/>
          <w:szCs w:val="21"/>
        </w:rPr>
        <w:t>转出基金的赎回费不实行费率优惠，具体以东方财富公告为准。投资者通过东方财富投资本公司后续新增的基金产品，自产品开通基金转换业务之日起，自动参与上述费率优惠。</w:t>
      </w:r>
    </w:p>
    <w:p w:rsidR="00F52E98" w:rsidRDefault="00C14D70">
      <w:pPr>
        <w:spacing w:line="360" w:lineRule="auto"/>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四</w:t>
      </w:r>
      <w:r>
        <w:rPr>
          <w:rFonts w:ascii="微软雅黑" w:eastAsia="微软雅黑" w:hAnsi="微软雅黑" w:cs="Times New Roman"/>
          <w:color w:val="504545"/>
          <w:szCs w:val="21"/>
        </w:rPr>
        <w:t>、投资者可通过以下途径咨询有关详情</w:t>
      </w:r>
    </w:p>
    <w:p w:rsidR="00F52E98" w:rsidRDefault="00C14D70">
      <w:pPr>
        <w:spacing w:line="360" w:lineRule="auto"/>
        <w:rPr>
          <w:rFonts w:ascii="微软雅黑" w:eastAsia="微软雅黑" w:hAnsi="微软雅黑" w:cs="Times New Roman"/>
          <w:color w:val="504545"/>
          <w:szCs w:val="21"/>
        </w:rPr>
      </w:pPr>
      <w:r>
        <w:rPr>
          <w:rFonts w:ascii="微软雅黑" w:eastAsia="微软雅黑" w:hAnsi="微软雅黑" w:cs="Times New Roman"/>
          <w:color w:val="504545"/>
          <w:szCs w:val="21"/>
        </w:rPr>
        <w:tab/>
      </w:r>
      <w:r>
        <w:rPr>
          <w:rFonts w:ascii="微软雅黑" w:eastAsia="微软雅黑" w:hAnsi="微软雅黑" w:cs="Times New Roman" w:hint="eastAsia"/>
          <w:color w:val="504545"/>
          <w:szCs w:val="21"/>
        </w:rPr>
        <w:t>1</w:t>
      </w:r>
      <w:r>
        <w:rPr>
          <w:rFonts w:ascii="微软雅黑" w:eastAsia="微软雅黑" w:hAnsi="微软雅黑" w:cs="Times New Roman" w:hint="eastAsia"/>
          <w:color w:val="504545"/>
          <w:szCs w:val="21"/>
        </w:rPr>
        <w:t>、西藏东方财富证券股份有限公司</w:t>
      </w:r>
    </w:p>
    <w:p w:rsidR="00F52E98" w:rsidRDefault="00C14D70">
      <w:pPr>
        <w:spacing w:line="360" w:lineRule="auto"/>
        <w:ind w:firstLineChars="150" w:firstLine="315"/>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客服电话：</w:t>
      </w:r>
      <w:r>
        <w:rPr>
          <w:rFonts w:ascii="微软雅黑" w:eastAsia="微软雅黑" w:hAnsi="微软雅黑" w:cs="Times New Roman"/>
          <w:color w:val="504545"/>
          <w:szCs w:val="21"/>
        </w:rPr>
        <w:t>95357</w:t>
      </w:r>
    </w:p>
    <w:p w:rsidR="00F52E98" w:rsidRDefault="00C14D70">
      <w:pPr>
        <w:spacing w:line="360" w:lineRule="auto"/>
        <w:ind w:firstLineChars="150" w:firstLine="315"/>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公司网站：</w:t>
      </w:r>
      <w:r>
        <w:rPr>
          <w:rFonts w:ascii="微软雅黑" w:eastAsia="微软雅黑" w:hAnsi="微软雅黑" w:cs="Times New Roman"/>
          <w:color w:val="504545"/>
          <w:szCs w:val="21"/>
        </w:rPr>
        <w:t>www.18.cn</w:t>
      </w:r>
    </w:p>
    <w:p w:rsidR="00F52E98" w:rsidRDefault="00C14D70">
      <w:pPr>
        <w:spacing w:line="360" w:lineRule="auto"/>
        <w:rPr>
          <w:rFonts w:ascii="微软雅黑" w:eastAsia="微软雅黑" w:hAnsi="微软雅黑" w:cs="Times New Roman"/>
          <w:color w:val="504545"/>
          <w:szCs w:val="21"/>
        </w:rPr>
      </w:pPr>
      <w:r>
        <w:rPr>
          <w:rFonts w:ascii="微软雅黑" w:eastAsia="微软雅黑" w:hAnsi="微软雅黑" w:cs="Times New Roman"/>
          <w:color w:val="504545"/>
          <w:szCs w:val="21"/>
        </w:rPr>
        <w:lastRenderedPageBreak/>
        <w:tab/>
        <w:t>2</w:t>
      </w:r>
      <w:r>
        <w:rPr>
          <w:rFonts w:ascii="微软雅黑" w:eastAsia="微软雅黑" w:hAnsi="微软雅黑" w:cs="Times New Roman" w:hint="eastAsia"/>
          <w:color w:val="504545"/>
          <w:szCs w:val="21"/>
        </w:rPr>
        <w:t>、</w:t>
      </w:r>
      <w:r>
        <w:rPr>
          <w:rFonts w:ascii="微软雅黑" w:eastAsia="微软雅黑" w:hAnsi="微软雅黑" w:cs="Times New Roman"/>
          <w:color w:val="504545"/>
          <w:szCs w:val="21"/>
        </w:rPr>
        <w:t>北信瑞丰基金管理有限公司</w:t>
      </w:r>
    </w:p>
    <w:p w:rsidR="00F52E98" w:rsidRDefault="00C14D70">
      <w:pPr>
        <w:spacing w:line="360" w:lineRule="auto"/>
        <w:ind w:firstLineChars="150" w:firstLine="315"/>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客服</w:t>
      </w:r>
      <w:r>
        <w:rPr>
          <w:rFonts w:ascii="微软雅黑" w:eastAsia="微软雅黑" w:hAnsi="微软雅黑" w:cs="Times New Roman"/>
          <w:color w:val="504545"/>
          <w:szCs w:val="21"/>
        </w:rPr>
        <w:t>电话：</w:t>
      </w:r>
      <w:r>
        <w:rPr>
          <w:rFonts w:ascii="微软雅黑" w:eastAsia="微软雅黑" w:hAnsi="微软雅黑" w:cs="Times New Roman" w:hint="eastAsia"/>
          <w:color w:val="504545"/>
          <w:szCs w:val="21"/>
        </w:rPr>
        <w:t>400</w:t>
      </w:r>
      <w:r>
        <w:rPr>
          <w:rFonts w:ascii="微软雅黑" w:eastAsia="微软雅黑" w:hAnsi="微软雅黑" w:cs="Times New Roman"/>
          <w:color w:val="504545"/>
          <w:szCs w:val="21"/>
        </w:rPr>
        <w:t>-061-7297</w:t>
      </w:r>
    </w:p>
    <w:p w:rsidR="00F52E98" w:rsidRDefault="00C14D70">
      <w:pPr>
        <w:spacing w:line="360" w:lineRule="auto"/>
        <w:ind w:firstLineChars="150" w:firstLine="315"/>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公司</w:t>
      </w:r>
      <w:r>
        <w:rPr>
          <w:rFonts w:ascii="微软雅黑" w:eastAsia="微软雅黑" w:hAnsi="微软雅黑" w:cs="Times New Roman"/>
          <w:color w:val="504545"/>
          <w:szCs w:val="21"/>
        </w:rPr>
        <w:t>网</w:t>
      </w:r>
      <w:r>
        <w:rPr>
          <w:rFonts w:ascii="微软雅黑" w:eastAsia="微软雅黑" w:hAnsi="微软雅黑" w:cs="Times New Roman" w:hint="eastAsia"/>
          <w:color w:val="504545"/>
          <w:szCs w:val="21"/>
        </w:rPr>
        <w:t>站：</w:t>
      </w:r>
      <w:hyperlink r:id="rId9" w:history="1">
        <w:r>
          <w:rPr>
            <w:rFonts w:ascii="微软雅黑" w:eastAsia="微软雅黑" w:hAnsi="微软雅黑" w:cs="Times New Roman"/>
            <w:color w:val="504545"/>
            <w:szCs w:val="21"/>
          </w:rPr>
          <w:t>www.bxrfund.com</w:t>
        </w:r>
      </w:hyperlink>
    </w:p>
    <w:p w:rsidR="00F52E98" w:rsidRDefault="00C14D70">
      <w:pPr>
        <w:spacing w:line="360" w:lineRule="auto"/>
        <w:ind w:firstLineChars="150" w:firstLine="315"/>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特此</w:t>
      </w:r>
      <w:r>
        <w:rPr>
          <w:rFonts w:ascii="微软雅黑" w:eastAsia="微软雅黑" w:hAnsi="微软雅黑" w:cs="Times New Roman"/>
          <w:color w:val="504545"/>
          <w:szCs w:val="21"/>
        </w:rPr>
        <w:t>公告。</w:t>
      </w:r>
    </w:p>
    <w:p w:rsidR="00F52E98" w:rsidRDefault="00C14D70">
      <w:pPr>
        <w:spacing w:line="360" w:lineRule="auto"/>
        <w:ind w:firstLineChars="150" w:firstLine="315"/>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风险提示：本公司承诺以诚实信用、勤勉尽责的原则管理和运用基金资产，但不保证基金一定盈利，也不保证最低收益。敬请投资人注意投资风险。投资者投资于上述基金前应认真阅读基金的基金合同、更新的招募说明书。</w:t>
      </w:r>
    </w:p>
    <w:p w:rsidR="00F52E98" w:rsidRDefault="00C14D70">
      <w:pPr>
        <w:spacing w:line="360" w:lineRule="auto"/>
        <w:ind w:firstLineChars="150" w:firstLine="315"/>
        <w:jc w:val="right"/>
        <w:rPr>
          <w:rFonts w:ascii="微软雅黑" w:eastAsia="微软雅黑" w:hAnsi="微软雅黑" w:cs="Times New Roman"/>
          <w:color w:val="504545"/>
          <w:szCs w:val="21"/>
        </w:rPr>
      </w:pPr>
      <w:r>
        <w:rPr>
          <w:rFonts w:ascii="微软雅黑" w:eastAsia="微软雅黑" w:hAnsi="微软雅黑" w:cs="Times New Roman" w:hint="eastAsia"/>
          <w:color w:val="504545"/>
          <w:szCs w:val="21"/>
        </w:rPr>
        <w:t>北信瑞丰</w:t>
      </w:r>
      <w:r>
        <w:rPr>
          <w:rFonts w:ascii="微软雅黑" w:eastAsia="微软雅黑" w:hAnsi="微软雅黑" w:cs="Times New Roman"/>
          <w:color w:val="504545"/>
          <w:szCs w:val="21"/>
        </w:rPr>
        <w:t>基金管理有限公司</w:t>
      </w:r>
    </w:p>
    <w:p w:rsidR="00F52E98" w:rsidRDefault="00C14D70">
      <w:pPr>
        <w:spacing w:line="360" w:lineRule="auto"/>
        <w:ind w:firstLineChars="150" w:firstLine="315"/>
        <w:jc w:val="right"/>
        <w:rPr>
          <w:rFonts w:ascii="微软雅黑" w:eastAsia="微软雅黑" w:hAnsi="微软雅黑" w:cs="Times New Roman"/>
          <w:color w:val="504545"/>
          <w:szCs w:val="21"/>
        </w:rPr>
      </w:pPr>
      <w:r>
        <w:rPr>
          <w:rFonts w:ascii="微软雅黑" w:eastAsia="微软雅黑" w:hAnsi="微软雅黑" w:cs="Times New Roman"/>
          <w:color w:val="504545"/>
          <w:szCs w:val="21"/>
        </w:rPr>
        <w:t>2018</w:t>
      </w:r>
      <w:r>
        <w:rPr>
          <w:rFonts w:ascii="微软雅黑" w:eastAsia="微软雅黑" w:hAnsi="微软雅黑" w:cs="Times New Roman" w:hint="eastAsia"/>
          <w:color w:val="504545"/>
          <w:szCs w:val="21"/>
        </w:rPr>
        <w:t>年</w:t>
      </w:r>
      <w:r>
        <w:rPr>
          <w:rFonts w:ascii="微软雅黑" w:eastAsia="微软雅黑" w:hAnsi="微软雅黑" w:cs="Times New Roman"/>
          <w:color w:val="504545"/>
          <w:szCs w:val="21"/>
        </w:rPr>
        <w:t>8</w:t>
      </w:r>
      <w:r>
        <w:rPr>
          <w:rFonts w:ascii="微软雅黑" w:eastAsia="微软雅黑" w:hAnsi="微软雅黑" w:cs="Times New Roman" w:hint="eastAsia"/>
          <w:color w:val="504545"/>
          <w:szCs w:val="21"/>
        </w:rPr>
        <w:t>月</w:t>
      </w:r>
      <w:r>
        <w:rPr>
          <w:rFonts w:ascii="微软雅黑" w:eastAsia="微软雅黑" w:hAnsi="微软雅黑" w:cs="Times New Roman"/>
          <w:color w:val="504545"/>
          <w:szCs w:val="21"/>
        </w:rPr>
        <w:t>24</w:t>
      </w:r>
      <w:r>
        <w:rPr>
          <w:rFonts w:ascii="微软雅黑" w:eastAsia="微软雅黑" w:hAnsi="微软雅黑" w:cs="Times New Roman" w:hint="eastAsia"/>
          <w:color w:val="504545"/>
          <w:szCs w:val="21"/>
        </w:rPr>
        <w:t>日</w:t>
      </w:r>
    </w:p>
    <w:p w:rsidR="00F52E98" w:rsidRDefault="00F52E98"/>
    <w:sectPr w:rsidR="00F52E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70" w:rsidRDefault="00C14D70" w:rsidP="00BD2FED">
      <w:r>
        <w:separator/>
      </w:r>
    </w:p>
  </w:endnote>
  <w:endnote w:type="continuationSeparator" w:id="0">
    <w:p w:rsidR="00C14D70" w:rsidRDefault="00C14D70" w:rsidP="00BD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70" w:rsidRDefault="00C14D70" w:rsidP="00BD2FED">
      <w:r>
        <w:separator/>
      </w:r>
    </w:p>
  </w:footnote>
  <w:footnote w:type="continuationSeparator" w:id="0">
    <w:p w:rsidR="00C14D70" w:rsidRDefault="00C14D70" w:rsidP="00BD2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9027F"/>
    <w:multiLevelType w:val="multilevel"/>
    <w:tmpl w:val="6139027F"/>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62"/>
    <w:rsid w:val="00044202"/>
    <w:rsid w:val="00094BE7"/>
    <w:rsid w:val="0019614D"/>
    <w:rsid w:val="00235F62"/>
    <w:rsid w:val="00314B0C"/>
    <w:rsid w:val="00346E8A"/>
    <w:rsid w:val="004B78BA"/>
    <w:rsid w:val="004C0D9A"/>
    <w:rsid w:val="00561EEA"/>
    <w:rsid w:val="006135A4"/>
    <w:rsid w:val="006717AE"/>
    <w:rsid w:val="007455B8"/>
    <w:rsid w:val="007637F9"/>
    <w:rsid w:val="007F6C31"/>
    <w:rsid w:val="00800271"/>
    <w:rsid w:val="008034F4"/>
    <w:rsid w:val="008448DF"/>
    <w:rsid w:val="009753FC"/>
    <w:rsid w:val="009C2F5F"/>
    <w:rsid w:val="00A03820"/>
    <w:rsid w:val="00A315C7"/>
    <w:rsid w:val="00A91A54"/>
    <w:rsid w:val="00AB757C"/>
    <w:rsid w:val="00BD2FED"/>
    <w:rsid w:val="00BF5110"/>
    <w:rsid w:val="00C14D70"/>
    <w:rsid w:val="00C848E0"/>
    <w:rsid w:val="00C90F5B"/>
    <w:rsid w:val="00E25DF6"/>
    <w:rsid w:val="00EF4E76"/>
    <w:rsid w:val="00F111C0"/>
    <w:rsid w:val="00F2532B"/>
    <w:rsid w:val="00F3321D"/>
    <w:rsid w:val="00F52E98"/>
    <w:rsid w:val="00FB38C5"/>
    <w:rsid w:val="14CD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xr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茅昱寒</dc:creator>
  <cp:lastModifiedBy>SHC</cp:lastModifiedBy>
  <cp:revision>2</cp:revision>
  <dcterms:created xsi:type="dcterms:W3CDTF">2019-04-09T05:07:00Z</dcterms:created>
  <dcterms:modified xsi:type="dcterms:W3CDTF">2019-04-09T05:07:00Z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