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6E6" w:rsidRDefault="00025190">
      <w:pPr>
        <w:pStyle w:val="2"/>
        <w:spacing w:line="360" w:lineRule="auto"/>
        <w:jc w:val="center"/>
        <w:rPr>
          <w:rFonts w:ascii="宋体" w:hAnsi="宋体"/>
        </w:rPr>
      </w:pPr>
      <w:r>
        <w:rPr>
          <w:rFonts w:hint="eastAsia"/>
        </w:rPr>
        <w:t>信达澳银基金管理有限公司</w:t>
      </w:r>
      <w:r>
        <w:br/>
      </w:r>
      <w:r>
        <w:rPr>
          <w:rFonts w:ascii="宋体" w:hAnsi="宋体" w:hint="eastAsia"/>
        </w:rPr>
        <w:t>关于增加西藏东方财富证券股份有限公司为旗下部分基金</w:t>
      </w:r>
      <w:r>
        <w:rPr>
          <w:rFonts w:ascii="宋体" w:hAnsi="宋体"/>
        </w:rPr>
        <w:t>的</w:t>
      </w:r>
      <w:r>
        <w:rPr>
          <w:rFonts w:ascii="宋体" w:hAnsi="宋体" w:hint="eastAsia"/>
        </w:rPr>
        <w:t>代销机构</w:t>
      </w:r>
      <w:r>
        <w:rPr>
          <w:rFonts w:ascii="宋体" w:hAnsi="宋体" w:hint="eastAsia"/>
          <w:color w:val="000000"/>
        </w:rPr>
        <w:t>、开通转换</w:t>
      </w:r>
      <w:r w:rsidR="004853A0">
        <w:rPr>
          <w:rFonts w:ascii="宋体" w:hAnsi="宋体" w:hint="eastAsia"/>
          <w:color w:val="000000"/>
        </w:rPr>
        <w:t>业务</w:t>
      </w:r>
      <w:r>
        <w:rPr>
          <w:rFonts w:ascii="宋体" w:hAnsi="宋体" w:hint="eastAsia"/>
          <w:color w:val="000000"/>
        </w:rPr>
        <w:t>、</w:t>
      </w:r>
      <w:r>
        <w:rPr>
          <w:rFonts w:ascii="宋体" w:hAnsi="宋体" w:hint="eastAsia"/>
        </w:rPr>
        <w:t>参加基金申购费率优惠活动的公告</w:t>
      </w:r>
    </w:p>
    <w:p w:rsidR="00E256E6" w:rsidRDefault="00025190">
      <w:pPr>
        <w:widowControl/>
        <w:shd w:val="clear" w:color="auto" w:fill="FFFFFF"/>
        <w:spacing w:line="360" w:lineRule="auto"/>
        <w:ind w:firstLine="420"/>
        <w:rPr>
          <w:rFonts w:asciiTheme="minorEastAsia" w:eastAsiaTheme="minorEastAsia" w:hAnsiTheme="minorEastAsia" w:cs="宋体"/>
          <w:color w:val="737373"/>
          <w:kern w:val="0"/>
          <w:sz w:val="24"/>
          <w:szCs w:val="24"/>
        </w:rPr>
      </w:pPr>
      <w:r>
        <w:rPr>
          <w:rFonts w:asciiTheme="minorEastAsia" w:eastAsiaTheme="minorEastAsia" w:hAnsiTheme="minorEastAsia" w:cs="宋体" w:hint="eastAsia"/>
          <w:color w:val="333333"/>
          <w:kern w:val="0"/>
          <w:sz w:val="24"/>
          <w:szCs w:val="24"/>
        </w:rPr>
        <w:t>信达澳银基金管理有限公司（简称“本公司”）与</w:t>
      </w:r>
      <w:r>
        <w:rPr>
          <w:rFonts w:asciiTheme="minorEastAsia" w:eastAsiaTheme="minorEastAsia" w:hAnsiTheme="minorEastAsia" w:cs="Calibri" w:hint="eastAsia"/>
          <w:color w:val="000000"/>
          <w:kern w:val="0"/>
          <w:sz w:val="24"/>
          <w:szCs w:val="24"/>
        </w:rPr>
        <w:t>西藏东方财富证券股份有限公司</w:t>
      </w:r>
      <w:r>
        <w:rPr>
          <w:rFonts w:asciiTheme="minorEastAsia" w:eastAsiaTheme="minorEastAsia" w:hAnsiTheme="minorEastAsia" w:hint="eastAsia"/>
          <w:sz w:val="24"/>
          <w:szCs w:val="24"/>
        </w:rPr>
        <w:t>（以下简称“</w:t>
      </w:r>
      <w:r>
        <w:rPr>
          <w:rFonts w:asciiTheme="minorEastAsia" w:eastAsiaTheme="minorEastAsia" w:hAnsiTheme="minorEastAsia" w:cs="Calibri" w:hint="eastAsia"/>
          <w:color w:val="000000"/>
          <w:kern w:val="0"/>
          <w:sz w:val="24"/>
          <w:szCs w:val="24"/>
        </w:rPr>
        <w:t>东方财富证券</w:t>
      </w:r>
      <w:r>
        <w:rPr>
          <w:rFonts w:asciiTheme="minorEastAsia" w:eastAsiaTheme="minorEastAsia" w:hAnsiTheme="minorEastAsia" w:hint="eastAsia"/>
          <w:sz w:val="24"/>
          <w:szCs w:val="24"/>
        </w:rPr>
        <w:t>”）</w:t>
      </w:r>
      <w:r>
        <w:rPr>
          <w:rFonts w:asciiTheme="minorEastAsia" w:eastAsiaTheme="minorEastAsia" w:hAnsiTheme="minorEastAsia" w:cs="宋体" w:hint="eastAsia"/>
          <w:color w:val="333333"/>
          <w:kern w:val="0"/>
          <w:sz w:val="24"/>
          <w:szCs w:val="24"/>
        </w:rPr>
        <w:t>协商一致，决定于</w:t>
      </w:r>
      <w:r>
        <w:rPr>
          <w:rFonts w:asciiTheme="minorEastAsia" w:eastAsiaTheme="minorEastAsia" w:hAnsiTheme="minorEastAsia" w:cs="宋体"/>
          <w:color w:val="333333"/>
          <w:kern w:val="0"/>
          <w:sz w:val="24"/>
          <w:szCs w:val="24"/>
        </w:rPr>
        <w:t>2018</w:t>
      </w:r>
      <w:r>
        <w:rPr>
          <w:rFonts w:asciiTheme="minorEastAsia" w:eastAsiaTheme="minorEastAsia" w:hAnsiTheme="minorEastAsia" w:cs="宋体" w:hint="eastAsia"/>
          <w:color w:val="333333"/>
          <w:kern w:val="0"/>
          <w:sz w:val="24"/>
          <w:szCs w:val="24"/>
        </w:rPr>
        <w:t>年</w:t>
      </w:r>
      <w:r>
        <w:rPr>
          <w:rFonts w:asciiTheme="minorEastAsia" w:eastAsiaTheme="minorEastAsia" w:hAnsiTheme="minorEastAsia" w:cs="宋体"/>
          <w:color w:val="333333"/>
          <w:kern w:val="0"/>
          <w:sz w:val="24"/>
          <w:szCs w:val="24"/>
        </w:rPr>
        <w:t>8</w:t>
      </w:r>
      <w:r>
        <w:rPr>
          <w:rFonts w:asciiTheme="minorEastAsia" w:eastAsiaTheme="minorEastAsia" w:hAnsiTheme="minorEastAsia" w:cs="宋体" w:hint="eastAsia"/>
          <w:color w:val="333333"/>
          <w:kern w:val="0"/>
          <w:sz w:val="24"/>
          <w:szCs w:val="24"/>
        </w:rPr>
        <w:t>月</w:t>
      </w:r>
      <w:r>
        <w:rPr>
          <w:rFonts w:asciiTheme="minorEastAsia" w:eastAsiaTheme="minorEastAsia" w:hAnsiTheme="minorEastAsia" w:cs="宋体"/>
          <w:color w:val="333333"/>
          <w:kern w:val="0"/>
          <w:sz w:val="24"/>
          <w:szCs w:val="24"/>
        </w:rPr>
        <w:t>31</w:t>
      </w:r>
      <w:r>
        <w:rPr>
          <w:rFonts w:asciiTheme="minorEastAsia" w:eastAsiaTheme="minorEastAsia" w:hAnsiTheme="minorEastAsia" w:cs="宋体" w:hint="eastAsia"/>
          <w:color w:val="333333"/>
          <w:kern w:val="0"/>
          <w:sz w:val="24"/>
          <w:szCs w:val="24"/>
        </w:rPr>
        <w:t>日起增加</w:t>
      </w:r>
      <w:r>
        <w:rPr>
          <w:rFonts w:asciiTheme="minorEastAsia" w:eastAsiaTheme="minorEastAsia" w:hAnsiTheme="minorEastAsia" w:cs="Calibri" w:hint="eastAsia"/>
          <w:color w:val="000000"/>
          <w:kern w:val="0"/>
          <w:sz w:val="24"/>
          <w:szCs w:val="24"/>
        </w:rPr>
        <w:t>东方财富证券</w:t>
      </w:r>
      <w:r>
        <w:rPr>
          <w:rFonts w:asciiTheme="minorEastAsia" w:eastAsiaTheme="minorEastAsia" w:hAnsiTheme="minorEastAsia" w:cs="宋体" w:hint="eastAsia"/>
          <w:color w:val="333333"/>
          <w:kern w:val="0"/>
          <w:sz w:val="24"/>
          <w:szCs w:val="24"/>
        </w:rPr>
        <w:t>为本公司旗下部分</w:t>
      </w:r>
      <w:r>
        <w:rPr>
          <w:rFonts w:asciiTheme="minorEastAsia" w:eastAsiaTheme="minorEastAsia" w:hAnsiTheme="minorEastAsia" w:cs="宋体"/>
          <w:color w:val="333333"/>
          <w:kern w:val="0"/>
          <w:sz w:val="24"/>
          <w:szCs w:val="24"/>
        </w:rPr>
        <w:t>基金的</w:t>
      </w:r>
      <w:r>
        <w:rPr>
          <w:rFonts w:asciiTheme="minorEastAsia" w:eastAsiaTheme="minorEastAsia" w:hAnsiTheme="minorEastAsia" w:cs="宋体" w:hint="eastAsia"/>
          <w:color w:val="333333"/>
          <w:kern w:val="0"/>
          <w:sz w:val="24"/>
          <w:szCs w:val="24"/>
        </w:rPr>
        <w:t>代销机构，代销本公司旗下基金，</w:t>
      </w:r>
      <w:r>
        <w:rPr>
          <w:rFonts w:asciiTheme="minorEastAsia" w:eastAsiaTheme="minorEastAsia" w:hAnsiTheme="minorEastAsia" w:cs="宋体" w:hint="eastAsia"/>
          <w:color w:val="000000"/>
          <w:kern w:val="0"/>
          <w:sz w:val="24"/>
          <w:szCs w:val="24"/>
        </w:rPr>
        <w:t>同时开通办理旗下基金的转换业务。本公司旗下基金参加</w:t>
      </w:r>
      <w:r>
        <w:rPr>
          <w:rFonts w:asciiTheme="minorEastAsia" w:eastAsiaTheme="minorEastAsia" w:hAnsiTheme="minorEastAsia" w:cs="Calibri" w:hint="eastAsia"/>
          <w:color w:val="000000"/>
          <w:kern w:val="0"/>
          <w:sz w:val="24"/>
          <w:szCs w:val="24"/>
        </w:rPr>
        <w:t>东方财富证券</w:t>
      </w:r>
      <w:r>
        <w:rPr>
          <w:rFonts w:asciiTheme="minorEastAsia" w:eastAsiaTheme="minorEastAsia" w:hAnsiTheme="minorEastAsia" w:cs="Tahoma" w:hint="eastAsia"/>
          <w:color w:val="000000"/>
          <w:sz w:val="24"/>
          <w:szCs w:val="24"/>
        </w:rPr>
        <w:t>在线</w:t>
      </w:r>
      <w:r>
        <w:rPr>
          <w:rFonts w:asciiTheme="minorEastAsia" w:eastAsiaTheme="minorEastAsia" w:hAnsiTheme="minorEastAsia" w:hint="eastAsia"/>
          <w:color w:val="000000"/>
          <w:sz w:val="24"/>
          <w:szCs w:val="24"/>
        </w:rPr>
        <w:t>交易平台和销售网点认购或申购</w:t>
      </w:r>
      <w:r>
        <w:rPr>
          <w:rFonts w:asciiTheme="minorEastAsia" w:eastAsiaTheme="minorEastAsia" w:hAnsiTheme="minorEastAsia" w:cs="宋体" w:hint="eastAsia"/>
          <w:color w:val="000000"/>
          <w:kern w:val="0"/>
          <w:sz w:val="24"/>
          <w:szCs w:val="24"/>
        </w:rPr>
        <w:t>费率优惠活动。现将转换</w:t>
      </w:r>
      <w:r>
        <w:rPr>
          <w:rFonts w:asciiTheme="minorEastAsia" w:eastAsiaTheme="minorEastAsia" w:hAnsiTheme="minorEastAsia" w:cs="宋体"/>
          <w:color w:val="000000"/>
          <w:kern w:val="0"/>
          <w:sz w:val="24"/>
          <w:szCs w:val="24"/>
        </w:rPr>
        <w:t>和</w:t>
      </w:r>
      <w:r>
        <w:rPr>
          <w:rFonts w:asciiTheme="minorEastAsia" w:eastAsiaTheme="minorEastAsia" w:hAnsiTheme="minorEastAsia" w:cs="宋体" w:hint="eastAsia"/>
          <w:color w:val="000000"/>
          <w:kern w:val="0"/>
          <w:sz w:val="24"/>
          <w:szCs w:val="24"/>
        </w:rPr>
        <w:t>费率优惠活动有关事项公告如下：</w:t>
      </w:r>
    </w:p>
    <w:p w:rsidR="00E256E6" w:rsidRDefault="00025190">
      <w:pPr>
        <w:pStyle w:val="1"/>
        <w:widowControl/>
        <w:numPr>
          <w:ilvl w:val="0"/>
          <w:numId w:val="1"/>
        </w:numPr>
        <w:spacing w:before="75" w:after="75" w:line="360" w:lineRule="auto"/>
        <w:ind w:right="75" w:firstLineChars="0"/>
        <w:rPr>
          <w:rFonts w:asciiTheme="minorEastAsia" w:eastAsiaTheme="minorEastAsia" w:hAnsiTheme="minorEastAsia" w:cs="宋体"/>
          <w:color w:val="333333"/>
          <w:kern w:val="0"/>
          <w:sz w:val="24"/>
          <w:szCs w:val="24"/>
        </w:rPr>
      </w:pPr>
      <w:r>
        <w:rPr>
          <w:rFonts w:asciiTheme="minorEastAsia" w:eastAsiaTheme="minorEastAsia" w:hAnsiTheme="minorEastAsia" w:cs="宋体" w:hint="eastAsia"/>
          <w:color w:val="333333"/>
          <w:kern w:val="0"/>
          <w:sz w:val="24"/>
          <w:szCs w:val="24"/>
        </w:rPr>
        <w:t>适用投资者范围</w:t>
      </w:r>
    </w:p>
    <w:p w:rsidR="00E256E6" w:rsidRDefault="00025190">
      <w:pPr>
        <w:spacing w:line="360" w:lineRule="auto"/>
        <w:ind w:firstLine="567"/>
        <w:rPr>
          <w:rFonts w:asciiTheme="minorEastAsia" w:eastAsiaTheme="minorEastAsia" w:hAnsiTheme="minorEastAsia" w:cs="宋体"/>
          <w:color w:val="333333"/>
          <w:kern w:val="0"/>
          <w:sz w:val="24"/>
          <w:szCs w:val="24"/>
        </w:rPr>
      </w:pPr>
      <w:r>
        <w:rPr>
          <w:rFonts w:asciiTheme="minorEastAsia" w:eastAsiaTheme="minorEastAsia" w:hAnsiTheme="minorEastAsia" w:hint="eastAsia"/>
          <w:color w:val="000000"/>
          <w:sz w:val="24"/>
          <w:szCs w:val="24"/>
        </w:rPr>
        <w:t>本活动适用于依据有关法律法规和基金合同规定可以投资证券投资基金、并</w:t>
      </w:r>
      <w:r>
        <w:rPr>
          <w:rFonts w:asciiTheme="minorEastAsia" w:eastAsiaTheme="minorEastAsia" w:hAnsiTheme="minorEastAsia" w:cs="宋体" w:hint="eastAsia"/>
          <w:color w:val="333333"/>
          <w:kern w:val="0"/>
          <w:sz w:val="24"/>
          <w:szCs w:val="24"/>
        </w:rPr>
        <w:t>通过</w:t>
      </w:r>
      <w:bookmarkStart w:id="0" w:name="OLE_LINK8"/>
      <w:bookmarkStart w:id="1" w:name="OLE_LINK9"/>
      <w:r>
        <w:rPr>
          <w:rFonts w:asciiTheme="minorEastAsia" w:eastAsiaTheme="minorEastAsia" w:hAnsiTheme="minorEastAsia" w:cs="Calibri" w:hint="eastAsia"/>
          <w:color w:val="000000"/>
          <w:kern w:val="0"/>
          <w:sz w:val="24"/>
          <w:szCs w:val="24"/>
        </w:rPr>
        <w:t>东方财富证券</w:t>
      </w:r>
      <w:r>
        <w:rPr>
          <w:rFonts w:asciiTheme="minorEastAsia" w:eastAsiaTheme="minorEastAsia" w:hAnsiTheme="minorEastAsia" w:cs="宋体" w:hint="eastAsia"/>
          <w:color w:val="000000"/>
          <w:kern w:val="0"/>
          <w:sz w:val="24"/>
          <w:szCs w:val="24"/>
        </w:rPr>
        <w:t>认购或</w:t>
      </w:r>
      <w:r>
        <w:rPr>
          <w:rFonts w:asciiTheme="minorEastAsia" w:eastAsiaTheme="minorEastAsia" w:hAnsiTheme="minorEastAsia" w:hint="eastAsia"/>
          <w:color w:val="000000"/>
          <w:sz w:val="24"/>
          <w:szCs w:val="24"/>
        </w:rPr>
        <w:t>申购</w:t>
      </w:r>
      <w:hyperlink r:id="rId8" w:history="1">
        <w:r>
          <w:rPr>
            <w:rFonts w:asciiTheme="minorEastAsia" w:eastAsiaTheme="minorEastAsia" w:hAnsiTheme="minorEastAsia" w:cs="宋体" w:hint="eastAsia"/>
            <w:color w:val="333333"/>
            <w:kern w:val="0"/>
            <w:sz w:val="24"/>
            <w:szCs w:val="24"/>
          </w:rPr>
          <w:t>本公司旗下基金的</w:t>
        </w:r>
      </w:hyperlink>
      <w:r>
        <w:rPr>
          <w:rFonts w:asciiTheme="minorEastAsia" w:eastAsiaTheme="minorEastAsia" w:hAnsiTheme="minorEastAsia" w:cs="宋体" w:hint="eastAsia"/>
          <w:color w:val="333333"/>
          <w:kern w:val="0"/>
          <w:sz w:val="24"/>
          <w:szCs w:val="24"/>
        </w:rPr>
        <w:t>投资者。</w:t>
      </w:r>
      <w:bookmarkEnd w:id="0"/>
      <w:bookmarkEnd w:id="1"/>
    </w:p>
    <w:p w:rsidR="00E256E6" w:rsidRDefault="00025190">
      <w:pPr>
        <w:widowControl/>
        <w:numPr>
          <w:ilvl w:val="0"/>
          <w:numId w:val="1"/>
        </w:numPr>
        <w:spacing w:line="360" w:lineRule="auto"/>
        <w:jc w:val="left"/>
        <w:rPr>
          <w:rFonts w:asciiTheme="minorEastAsia" w:eastAsiaTheme="minorEastAsia" w:hAnsiTheme="minorEastAsia"/>
          <w:color w:val="000000"/>
          <w:sz w:val="24"/>
          <w:szCs w:val="24"/>
        </w:rPr>
      </w:pPr>
      <w:r>
        <w:rPr>
          <w:rFonts w:asciiTheme="minorEastAsia" w:eastAsiaTheme="minorEastAsia" w:hAnsiTheme="minorEastAsia" w:cs="Arial"/>
          <w:color w:val="000000"/>
          <w:kern w:val="0"/>
          <w:sz w:val="24"/>
          <w:szCs w:val="24"/>
        </w:rPr>
        <w:t>适用基金</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5387"/>
      </w:tblGrid>
      <w:tr w:rsidR="00E256E6">
        <w:tc>
          <w:tcPr>
            <w:tcW w:w="709" w:type="dxa"/>
            <w:tcBorders>
              <w:top w:val="single" w:sz="4" w:space="0" w:color="auto"/>
              <w:left w:val="single" w:sz="4" w:space="0" w:color="auto"/>
              <w:bottom w:val="single" w:sz="4" w:space="0" w:color="auto"/>
              <w:right w:val="single" w:sz="4" w:space="0" w:color="auto"/>
            </w:tcBorders>
          </w:tcPr>
          <w:p w:rsidR="00E256E6" w:rsidRDefault="00025190">
            <w:pPr>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序号</w:t>
            </w:r>
          </w:p>
        </w:tc>
        <w:tc>
          <w:tcPr>
            <w:tcW w:w="2835" w:type="dxa"/>
            <w:tcBorders>
              <w:top w:val="single" w:sz="4" w:space="0" w:color="auto"/>
              <w:left w:val="single" w:sz="4" w:space="0" w:color="auto"/>
              <w:bottom w:val="single" w:sz="4" w:space="0" w:color="auto"/>
              <w:right w:val="single" w:sz="4" w:space="0" w:color="auto"/>
            </w:tcBorders>
          </w:tcPr>
          <w:p w:rsidR="00E256E6" w:rsidRDefault="00025190">
            <w:pPr>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基金代码</w:t>
            </w:r>
          </w:p>
        </w:tc>
        <w:tc>
          <w:tcPr>
            <w:tcW w:w="5387" w:type="dxa"/>
            <w:tcBorders>
              <w:top w:val="single" w:sz="4" w:space="0" w:color="auto"/>
              <w:left w:val="single" w:sz="4" w:space="0" w:color="auto"/>
              <w:bottom w:val="single" w:sz="4" w:space="0" w:color="auto"/>
              <w:right w:val="single" w:sz="4" w:space="0" w:color="auto"/>
            </w:tcBorders>
          </w:tcPr>
          <w:p w:rsidR="00E256E6" w:rsidRDefault="00025190">
            <w:pPr>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基金名称</w:t>
            </w:r>
          </w:p>
        </w:tc>
      </w:tr>
      <w:tr w:rsidR="00E256E6">
        <w:tc>
          <w:tcPr>
            <w:tcW w:w="709" w:type="dxa"/>
            <w:tcBorders>
              <w:top w:val="single" w:sz="4" w:space="0" w:color="auto"/>
              <w:left w:val="single" w:sz="4" w:space="0" w:color="auto"/>
              <w:bottom w:val="single" w:sz="4" w:space="0" w:color="auto"/>
              <w:right w:val="single" w:sz="4" w:space="0" w:color="auto"/>
            </w:tcBorders>
          </w:tcPr>
          <w:p w:rsidR="00E256E6" w:rsidRDefault="00025190">
            <w:pPr>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E256E6" w:rsidRDefault="00025190">
            <w:pPr>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610001</w:t>
            </w:r>
          </w:p>
        </w:tc>
        <w:tc>
          <w:tcPr>
            <w:tcW w:w="5387" w:type="dxa"/>
            <w:tcBorders>
              <w:top w:val="single" w:sz="4" w:space="0" w:color="auto"/>
              <w:left w:val="single" w:sz="4" w:space="0" w:color="auto"/>
              <w:bottom w:val="single" w:sz="4" w:space="0" w:color="auto"/>
              <w:right w:val="single" w:sz="4" w:space="0" w:color="auto"/>
            </w:tcBorders>
          </w:tcPr>
          <w:p w:rsidR="00E256E6" w:rsidRDefault="00025190">
            <w:pPr>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信达澳银领先增长混合型证券投资基金</w:t>
            </w:r>
          </w:p>
        </w:tc>
      </w:tr>
      <w:tr w:rsidR="00E256E6">
        <w:tc>
          <w:tcPr>
            <w:tcW w:w="709" w:type="dxa"/>
            <w:tcBorders>
              <w:top w:val="single" w:sz="4" w:space="0" w:color="auto"/>
              <w:left w:val="single" w:sz="4" w:space="0" w:color="auto"/>
              <w:bottom w:val="single" w:sz="4" w:space="0" w:color="auto"/>
              <w:right w:val="single" w:sz="4" w:space="0" w:color="auto"/>
            </w:tcBorders>
          </w:tcPr>
          <w:p w:rsidR="00E256E6" w:rsidRDefault="00025190">
            <w:pPr>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E256E6" w:rsidRDefault="00025190">
            <w:pPr>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610002</w:t>
            </w:r>
          </w:p>
        </w:tc>
        <w:tc>
          <w:tcPr>
            <w:tcW w:w="5387" w:type="dxa"/>
            <w:tcBorders>
              <w:top w:val="single" w:sz="4" w:space="0" w:color="auto"/>
              <w:left w:val="single" w:sz="4" w:space="0" w:color="auto"/>
              <w:bottom w:val="single" w:sz="4" w:space="0" w:color="auto"/>
              <w:right w:val="single" w:sz="4" w:space="0" w:color="auto"/>
            </w:tcBorders>
          </w:tcPr>
          <w:p w:rsidR="00E256E6" w:rsidRDefault="00025190">
            <w:pPr>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信达澳银精华灵活配置混合型证券投资基金</w:t>
            </w:r>
          </w:p>
        </w:tc>
      </w:tr>
      <w:tr w:rsidR="00E256E6">
        <w:tc>
          <w:tcPr>
            <w:tcW w:w="709" w:type="dxa"/>
            <w:tcBorders>
              <w:top w:val="single" w:sz="4" w:space="0" w:color="auto"/>
              <w:left w:val="single" w:sz="4" w:space="0" w:color="auto"/>
              <w:bottom w:val="single" w:sz="4" w:space="0" w:color="auto"/>
              <w:right w:val="single" w:sz="4" w:space="0" w:color="auto"/>
            </w:tcBorders>
          </w:tcPr>
          <w:p w:rsidR="00E256E6" w:rsidRDefault="00025190">
            <w:pPr>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w:t>
            </w:r>
          </w:p>
        </w:tc>
        <w:tc>
          <w:tcPr>
            <w:tcW w:w="2835" w:type="dxa"/>
            <w:tcBorders>
              <w:top w:val="single" w:sz="4" w:space="0" w:color="auto"/>
              <w:left w:val="single" w:sz="4" w:space="0" w:color="auto"/>
              <w:bottom w:val="single" w:sz="4" w:space="0" w:color="auto"/>
              <w:right w:val="single" w:sz="4" w:space="0" w:color="auto"/>
            </w:tcBorders>
          </w:tcPr>
          <w:p w:rsidR="00E256E6" w:rsidRDefault="00025190">
            <w:pPr>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610003/</w:t>
            </w:r>
            <w:r>
              <w:rPr>
                <w:rFonts w:asciiTheme="minorEastAsia" w:eastAsiaTheme="minorEastAsia" w:hAnsiTheme="minorEastAsia" w:cs="宋体"/>
                <w:color w:val="333333"/>
                <w:kern w:val="0"/>
                <w:sz w:val="24"/>
                <w:szCs w:val="24"/>
              </w:rPr>
              <w:t>610103</w:t>
            </w:r>
          </w:p>
        </w:tc>
        <w:tc>
          <w:tcPr>
            <w:tcW w:w="5387" w:type="dxa"/>
            <w:tcBorders>
              <w:top w:val="single" w:sz="4" w:space="0" w:color="auto"/>
              <w:left w:val="single" w:sz="4" w:space="0" w:color="auto"/>
              <w:bottom w:val="single" w:sz="4" w:space="0" w:color="auto"/>
              <w:right w:val="single" w:sz="4" w:space="0" w:color="auto"/>
            </w:tcBorders>
          </w:tcPr>
          <w:p w:rsidR="00E256E6" w:rsidRDefault="00025190">
            <w:pPr>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信达澳银稳定价值债券型证券投资基金A类/</w:t>
            </w:r>
            <w:r>
              <w:rPr>
                <w:rFonts w:asciiTheme="minorEastAsia" w:eastAsiaTheme="minorEastAsia" w:hAnsiTheme="minorEastAsia" w:cs="宋体"/>
                <w:color w:val="333333"/>
                <w:kern w:val="0"/>
                <w:sz w:val="24"/>
                <w:szCs w:val="24"/>
              </w:rPr>
              <w:t>B</w:t>
            </w:r>
            <w:r>
              <w:rPr>
                <w:rFonts w:asciiTheme="minorEastAsia" w:eastAsiaTheme="minorEastAsia" w:hAnsiTheme="minorEastAsia" w:cs="宋体" w:hint="eastAsia"/>
                <w:color w:val="333333"/>
                <w:kern w:val="0"/>
                <w:sz w:val="24"/>
                <w:szCs w:val="24"/>
              </w:rPr>
              <w:t>类</w:t>
            </w:r>
          </w:p>
        </w:tc>
      </w:tr>
      <w:tr w:rsidR="00E256E6">
        <w:tc>
          <w:tcPr>
            <w:tcW w:w="709" w:type="dxa"/>
            <w:tcBorders>
              <w:top w:val="single" w:sz="4" w:space="0" w:color="auto"/>
              <w:left w:val="single" w:sz="4" w:space="0" w:color="auto"/>
              <w:bottom w:val="single" w:sz="4" w:space="0" w:color="auto"/>
              <w:right w:val="single" w:sz="4" w:space="0" w:color="auto"/>
            </w:tcBorders>
          </w:tcPr>
          <w:p w:rsidR="00E256E6" w:rsidRDefault="00025190">
            <w:pPr>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E256E6" w:rsidRDefault="00025190">
            <w:pPr>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610004</w:t>
            </w:r>
          </w:p>
        </w:tc>
        <w:tc>
          <w:tcPr>
            <w:tcW w:w="5387" w:type="dxa"/>
            <w:tcBorders>
              <w:top w:val="single" w:sz="4" w:space="0" w:color="auto"/>
              <w:left w:val="single" w:sz="4" w:space="0" w:color="auto"/>
              <w:bottom w:val="single" w:sz="4" w:space="0" w:color="auto"/>
              <w:right w:val="single" w:sz="4" w:space="0" w:color="auto"/>
            </w:tcBorders>
          </w:tcPr>
          <w:p w:rsidR="00E256E6" w:rsidRDefault="00025190">
            <w:pPr>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信达澳银中小盘混合型证券投资基金</w:t>
            </w:r>
          </w:p>
        </w:tc>
      </w:tr>
      <w:tr w:rsidR="00E256E6">
        <w:tc>
          <w:tcPr>
            <w:tcW w:w="709" w:type="dxa"/>
            <w:tcBorders>
              <w:top w:val="single" w:sz="4" w:space="0" w:color="auto"/>
              <w:left w:val="single" w:sz="4" w:space="0" w:color="auto"/>
              <w:bottom w:val="single" w:sz="4" w:space="0" w:color="auto"/>
              <w:right w:val="single" w:sz="4" w:space="0" w:color="auto"/>
            </w:tcBorders>
          </w:tcPr>
          <w:p w:rsidR="00E256E6" w:rsidRDefault="00025190">
            <w:pPr>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5</w:t>
            </w:r>
          </w:p>
        </w:tc>
        <w:tc>
          <w:tcPr>
            <w:tcW w:w="2835" w:type="dxa"/>
            <w:tcBorders>
              <w:top w:val="single" w:sz="4" w:space="0" w:color="auto"/>
              <w:left w:val="single" w:sz="4" w:space="0" w:color="auto"/>
              <w:bottom w:val="single" w:sz="4" w:space="0" w:color="auto"/>
              <w:right w:val="single" w:sz="4" w:space="0" w:color="auto"/>
            </w:tcBorders>
          </w:tcPr>
          <w:p w:rsidR="00E256E6" w:rsidRDefault="00025190">
            <w:pPr>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610005</w:t>
            </w:r>
          </w:p>
        </w:tc>
        <w:tc>
          <w:tcPr>
            <w:tcW w:w="5387" w:type="dxa"/>
            <w:tcBorders>
              <w:top w:val="single" w:sz="4" w:space="0" w:color="auto"/>
              <w:left w:val="single" w:sz="4" w:space="0" w:color="auto"/>
              <w:bottom w:val="single" w:sz="4" w:space="0" w:color="auto"/>
              <w:right w:val="single" w:sz="4" w:space="0" w:color="auto"/>
            </w:tcBorders>
          </w:tcPr>
          <w:p w:rsidR="00E256E6" w:rsidRDefault="00025190">
            <w:pPr>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信达澳银红利回报混合型证券投资基金</w:t>
            </w:r>
          </w:p>
        </w:tc>
      </w:tr>
      <w:tr w:rsidR="00E256E6">
        <w:tc>
          <w:tcPr>
            <w:tcW w:w="709" w:type="dxa"/>
            <w:tcBorders>
              <w:top w:val="single" w:sz="4" w:space="0" w:color="auto"/>
              <w:left w:val="single" w:sz="4" w:space="0" w:color="auto"/>
              <w:bottom w:val="single" w:sz="4" w:space="0" w:color="auto"/>
              <w:right w:val="single" w:sz="4" w:space="0" w:color="auto"/>
            </w:tcBorders>
          </w:tcPr>
          <w:p w:rsidR="00E256E6" w:rsidRDefault="00025190">
            <w:pPr>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E256E6" w:rsidRDefault="00025190">
            <w:pPr>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610006</w:t>
            </w:r>
          </w:p>
        </w:tc>
        <w:tc>
          <w:tcPr>
            <w:tcW w:w="5387" w:type="dxa"/>
            <w:tcBorders>
              <w:top w:val="single" w:sz="4" w:space="0" w:color="auto"/>
              <w:left w:val="single" w:sz="4" w:space="0" w:color="auto"/>
              <w:bottom w:val="single" w:sz="4" w:space="0" w:color="auto"/>
              <w:right w:val="single" w:sz="4" w:space="0" w:color="auto"/>
            </w:tcBorders>
          </w:tcPr>
          <w:p w:rsidR="00E256E6" w:rsidRDefault="00025190">
            <w:pPr>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信达澳银产业升级混合型证券投资基金</w:t>
            </w:r>
          </w:p>
        </w:tc>
      </w:tr>
      <w:tr w:rsidR="00E256E6">
        <w:tc>
          <w:tcPr>
            <w:tcW w:w="709" w:type="dxa"/>
            <w:tcBorders>
              <w:top w:val="single" w:sz="4" w:space="0" w:color="auto"/>
              <w:left w:val="single" w:sz="4" w:space="0" w:color="auto"/>
              <w:bottom w:val="single" w:sz="4" w:space="0" w:color="auto"/>
              <w:right w:val="single" w:sz="4" w:space="0" w:color="auto"/>
            </w:tcBorders>
          </w:tcPr>
          <w:p w:rsidR="00E256E6" w:rsidRDefault="00025190">
            <w:pPr>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7</w:t>
            </w:r>
          </w:p>
        </w:tc>
        <w:tc>
          <w:tcPr>
            <w:tcW w:w="2835" w:type="dxa"/>
            <w:tcBorders>
              <w:top w:val="single" w:sz="4" w:space="0" w:color="auto"/>
              <w:left w:val="single" w:sz="4" w:space="0" w:color="auto"/>
              <w:bottom w:val="single" w:sz="4" w:space="0" w:color="auto"/>
              <w:right w:val="single" w:sz="4" w:space="0" w:color="auto"/>
            </w:tcBorders>
          </w:tcPr>
          <w:p w:rsidR="00E256E6" w:rsidRDefault="00025190">
            <w:pPr>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610007</w:t>
            </w:r>
          </w:p>
        </w:tc>
        <w:tc>
          <w:tcPr>
            <w:tcW w:w="5387" w:type="dxa"/>
            <w:tcBorders>
              <w:top w:val="single" w:sz="4" w:space="0" w:color="auto"/>
              <w:left w:val="single" w:sz="4" w:space="0" w:color="auto"/>
              <w:bottom w:val="single" w:sz="4" w:space="0" w:color="auto"/>
              <w:right w:val="single" w:sz="4" w:space="0" w:color="auto"/>
            </w:tcBorders>
          </w:tcPr>
          <w:p w:rsidR="00E256E6" w:rsidRDefault="00025190">
            <w:pPr>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信达澳银消费优选混合型证券投资基金</w:t>
            </w:r>
          </w:p>
        </w:tc>
      </w:tr>
      <w:tr w:rsidR="00E256E6">
        <w:tc>
          <w:tcPr>
            <w:tcW w:w="709" w:type="dxa"/>
            <w:tcBorders>
              <w:top w:val="single" w:sz="4" w:space="0" w:color="auto"/>
              <w:left w:val="single" w:sz="4" w:space="0" w:color="auto"/>
              <w:bottom w:val="single" w:sz="4" w:space="0" w:color="auto"/>
              <w:right w:val="single" w:sz="4" w:space="0" w:color="auto"/>
            </w:tcBorders>
          </w:tcPr>
          <w:p w:rsidR="00E256E6" w:rsidRDefault="00025190">
            <w:pPr>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w:t>
            </w:r>
          </w:p>
        </w:tc>
        <w:tc>
          <w:tcPr>
            <w:tcW w:w="2835" w:type="dxa"/>
            <w:tcBorders>
              <w:top w:val="single" w:sz="4" w:space="0" w:color="auto"/>
              <w:left w:val="single" w:sz="4" w:space="0" w:color="auto"/>
              <w:bottom w:val="single" w:sz="4" w:space="0" w:color="auto"/>
              <w:right w:val="single" w:sz="4" w:space="0" w:color="auto"/>
            </w:tcBorders>
          </w:tcPr>
          <w:p w:rsidR="00E256E6" w:rsidRDefault="00025190">
            <w:pPr>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610008/</w:t>
            </w:r>
            <w:r>
              <w:rPr>
                <w:rFonts w:asciiTheme="minorEastAsia" w:eastAsiaTheme="minorEastAsia" w:hAnsiTheme="minorEastAsia" w:hint="eastAsia"/>
                <w:sz w:val="24"/>
                <w:szCs w:val="24"/>
              </w:rPr>
              <w:t xml:space="preserve"> 610108</w:t>
            </w:r>
          </w:p>
        </w:tc>
        <w:tc>
          <w:tcPr>
            <w:tcW w:w="5387" w:type="dxa"/>
            <w:tcBorders>
              <w:top w:val="single" w:sz="4" w:space="0" w:color="auto"/>
              <w:left w:val="single" w:sz="4" w:space="0" w:color="auto"/>
              <w:bottom w:val="single" w:sz="4" w:space="0" w:color="auto"/>
              <w:right w:val="single" w:sz="4" w:space="0" w:color="auto"/>
            </w:tcBorders>
          </w:tcPr>
          <w:p w:rsidR="00E256E6" w:rsidRDefault="00025190">
            <w:pPr>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信达澳银信用债债券型证券投资基金A类/C类</w:t>
            </w:r>
          </w:p>
        </w:tc>
      </w:tr>
      <w:tr w:rsidR="00E256E6">
        <w:tc>
          <w:tcPr>
            <w:tcW w:w="709" w:type="dxa"/>
            <w:tcBorders>
              <w:top w:val="single" w:sz="4" w:space="0" w:color="auto"/>
              <w:left w:val="single" w:sz="4" w:space="0" w:color="auto"/>
              <w:bottom w:val="single" w:sz="4" w:space="0" w:color="auto"/>
              <w:right w:val="single" w:sz="4" w:space="0" w:color="auto"/>
            </w:tcBorders>
          </w:tcPr>
          <w:p w:rsidR="00E256E6" w:rsidRDefault="00025190">
            <w:pPr>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9</w:t>
            </w:r>
          </w:p>
        </w:tc>
        <w:tc>
          <w:tcPr>
            <w:tcW w:w="2835" w:type="dxa"/>
            <w:tcBorders>
              <w:top w:val="single" w:sz="4" w:space="0" w:color="auto"/>
              <w:left w:val="single" w:sz="4" w:space="0" w:color="auto"/>
              <w:bottom w:val="single" w:sz="4" w:space="0" w:color="auto"/>
              <w:right w:val="single" w:sz="4" w:space="0" w:color="auto"/>
            </w:tcBorders>
          </w:tcPr>
          <w:p w:rsidR="00E256E6" w:rsidRDefault="00025190">
            <w:pPr>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001105</w:t>
            </w:r>
          </w:p>
        </w:tc>
        <w:tc>
          <w:tcPr>
            <w:tcW w:w="5387" w:type="dxa"/>
            <w:tcBorders>
              <w:top w:val="single" w:sz="4" w:space="0" w:color="auto"/>
              <w:left w:val="single" w:sz="4" w:space="0" w:color="auto"/>
              <w:bottom w:val="single" w:sz="4" w:space="0" w:color="auto"/>
              <w:right w:val="single" w:sz="4" w:space="0" w:color="auto"/>
            </w:tcBorders>
          </w:tcPr>
          <w:p w:rsidR="00E256E6" w:rsidRDefault="00025190">
            <w:pPr>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信达澳银转型创新股票型证券投资基金</w:t>
            </w:r>
          </w:p>
        </w:tc>
      </w:tr>
      <w:tr w:rsidR="00E256E6">
        <w:tc>
          <w:tcPr>
            <w:tcW w:w="709" w:type="dxa"/>
            <w:tcBorders>
              <w:top w:val="single" w:sz="4" w:space="0" w:color="auto"/>
              <w:left w:val="single" w:sz="4" w:space="0" w:color="auto"/>
              <w:bottom w:val="single" w:sz="4" w:space="0" w:color="auto"/>
              <w:right w:val="single" w:sz="4" w:space="0" w:color="auto"/>
            </w:tcBorders>
          </w:tcPr>
          <w:p w:rsidR="00E256E6" w:rsidRDefault="00025190">
            <w:pPr>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10</w:t>
            </w:r>
          </w:p>
        </w:tc>
        <w:tc>
          <w:tcPr>
            <w:tcW w:w="2835" w:type="dxa"/>
            <w:tcBorders>
              <w:top w:val="single" w:sz="4" w:space="0" w:color="auto"/>
              <w:left w:val="single" w:sz="4" w:space="0" w:color="auto"/>
              <w:bottom w:val="single" w:sz="4" w:space="0" w:color="auto"/>
              <w:right w:val="single" w:sz="4" w:space="0" w:color="auto"/>
            </w:tcBorders>
          </w:tcPr>
          <w:p w:rsidR="00E256E6" w:rsidRDefault="00025190">
            <w:pPr>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001410</w:t>
            </w:r>
          </w:p>
        </w:tc>
        <w:tc>
          <w:tcPr>
            <w:tcW w:w="5387" w:type="dxa"/>
            <w:tcBorders>
              <w:top w:val="single" w:sz="4" w:space="0" w:color="auto"/>
              <w:left w:val="single" w:sz="4" w:space="0" w:color="auto"/>
              <w:bottom w:val="single" w:sz="4" w:space="0" w:color="auto"/>
              <w:right w:val="single" w:sz="4" w:space="0" w:color="auto"/>
            </w:tcBorders>
          </w:tcPr>
          <w:p w:rsidR="00E256E6" w:rsidRDefault="00025190">
            <w:pPr>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信达澳银新能源产业股票型证券投资基金</w:t>
            </w:r>
          </w:p>
        </w:tc>
      </w:tr>
      <w:tr w:rsidR="00E256E6">
        <w:tc>
          <w:tcPr>
            <w:tcW w:w="709" w:type="dxa"/>
          </w:tcPr>
          <w:p w:rsidR="00E256E6" w:rsidRDefault="00025190">
            <w:pPr>
              <w:spacing w:line="360" w:lineRule="auto"/>
              <w:jc w:val="center"/>
              <w:rPr>
                <w:rFonts w:asciiTheme="minorEastAsia" w:eastAsiaTheme="minorEastAsia" w:hAnsiTheme="minorEastAsia" w:cs="Arial"/>
                <w:color w:val="000000"/>
                <w:kern w:val="0"/>
                <w:sz w:val="24"/>
                <w:szCs w:val="24"/>
              </w:rPr>
            </w:pPr>
            <w:r>
              <w:rPr>
                <w:rFonts w:asciiTheme="minorEastAsia" w:eastAsiaTheme="minorEastAsia" w:hAnsiTheme="minorEastAsia" w:cs="Arial" w:hint="eastAsia"/>
                <w:color w:val="000000"/>
                <w:kern w:val="0"/>
                <w:sz w:val="24"/>
                <w:szCs w:val="24"/>
              </w:rPr>
              <w:t>11</w:t>
            </w:r>
          </w:p>
        </w:tc>
        <w:tc>
          <w:tcPr>
            <w:tcW w:w="2835" w:type="dxa"/>
          </w:tcPr>
          <w:p w:rsidR="00E256E6" w:rsidRDefault="00025190">
            <w:pPr>
              <w:spacing w:line="360" w:lineRule="auto"/>
              <w:rPr>
                <w:rFonts w:asciiTheme="minorEastAsia" w:eastAsiaTheme="minorEastAsia" w:hAnsiTheme="minorEastAsia"/>
                <w:color w:val="000000"/>
                <w:sz w:val="24"/>
                <w:szCs w:val="24"/>
              </w:rPr>
            </w:pPr>
            <w:r>
              <w:rPr>
                <w:rFonts w:asciiTheme="minorEastAsia" w:eastAsiaTheme="minorEastAsia" w:hAnsiTheme="minorEastAsia" w:cs="Arial"/>
                <w:color w:val="000000"/>
                <w:kern w:val="0"/>
                <w:sz w:val="24"/>
                <w:szCs w:val="24"/>
              </w:rPr>
              <w:t>000681</w:t>
            </w:r>
            <w:r>
              <w:rPr>
                <w:rFonts w:asciiTheme="minorEastAsia" w:eastAsiaTheme="minorEastAsia" w:hAnsiTheme="minorEastAsia" w:cs="Arial" w:hint="eastAsia"/>
                <w:color w:val="000000"/>
                <w:kern w:val="0"/>
                <w:sz w:val="24"/>
                <w:szCs w:val="24"/>
              </w:rPr>
              <w:t>/</w:t>
            </w:r>
            <w:r>
              <w:rPr>
                <w:rFonts w:asciiTheme="minorEastAsia" w:eastAsiaTheme="minorEastAsia" w:hAnsiTheme="minorEastAsia" w:hint="eastAsia"/>
                <w:sz w:val="24"/>
                <w:szCs w:val="24"/>
              </w:rPr>
              <w:t xml:space="preserve"> 000682</w:t>
            </w:r>
            <w:r>
              <w:rPr>
                <w:rFonts w:asciiTheme="minorEastAsia" w:eastAsiaTheme="minorEastAsia" w:hAnsiTheme="minorEastAsia" w:cs="Arial" w:hint="eastAsia"/>
                <w:color w:val="000000"/>
                <w:kern w:val="0"/>
                <w:sz w:val="24"/>
                <w:szCs w:val="24"/>
              </w:rPr>
              <w:t>/</w:t>
            </w:r>
            <w:r>
              <w:rPr>
                <w:rFonts w:asciiTheme="minorEastAsia" w:eastAsiaTheme="minorEastAsia" w:hAnsiTheme="minorEastAsia" w:hint="eastAsia"/>
                <w:sz w:val="24"/>
                <w:szCs w:val="24"/>
              </w:rPr>
              <w:t xml:space="preserve"> 000683</w:t>
            </w:r>
          </w:p>
        </w:tc>
        <w:tc>
          <w:tcPr>
            <w:tcW w:w="5387" w:type="dxa"/>
          </w:tcPr>
          <w:p w:rsidR="00E256E6" w:rsidRDefault="00025190">
            <w:pPr>
              <w:spacing w:line="360" w:lineRule="auto"/>
              <w:rPr>
                <w:rFonts w:asciiTheme="minorEastAsia" w:eastAsiaTheme="minorEastAsia" w:hAnsiTheme="minorEastAsia"/>
                <w:color w:val="000000"/>
                <w:sz w:val="24"/>
                <w:szCs w:val="24"/>
              </w:rPr>
            </w:pPr>
            <w:r>
              <w:rPr>
                <w:rFonts w:asciiTheme="minorEastAsia" w:eastAsiaTheme="minorEastAsia" w:hAnsiTheme="minorEastAsia" w:cs="Arial" w:hint="eastAsia"/>
                <w:color w:val="000000"/>
                <w:kern w:val="0"/>
                <w:sz w:val="24"/>
                <w:szCs w:val="24"/>
              </w:rPr>
              <w:t>信达澳银慧管家货币市场基金</w:t>
            </w:r>
            <w:r>
              <w:rPr>
                <w:rFonts w:asciiTheme="minorEastAsia" w:eastAsiaTheme="minorEastAsia" w:hAnsiTheme="minorEastAsia" w:hint="eastAsia"/>
                <w:color w:val="000000"/>
                <w:sz w:val="24"/>
                <w:szCs w:val="24"/>
              </w:rPr>
              <w:t>A类/C类</w:t>
            </w:r>
            <w:r>
              <w:rPr>
                <w:rFonts w:asciiTheme="minorEastAsia" w:eastAsiaTheme="minorEastAsia" w:hAnsiTheme="minorEastAsia" w:cs="Arial" w:hint="eastAsia"/>
                <w:color w:val="000000"/>
                <w:kern w:val="0"/>
                <w:sz w:val="24"/>
                <w:szCs w:val="24"/>
              </w:rPr>
              <w:t>/</w:t>
            </w:r>
            <w:r>
              <w:rPr>
                <w:rFonts w:asciiTheme="minorEastAsia" w:eastAsiaTheme="minorEastAsia" w:hAnsiTheme="minorEastAsia" w:hint="eastAsia"/>
                <w:sz w:val="24"/>
                <w:szCs w:val="24"/>
              </w:rPr>
              <w:t xml:space="preserve"> E类</w:t>
            </w:r>
          </w:p>
        </w:tc>
      </w:tr>
      <w:tr w:rsidR="00E256E6">
        <w:tc>
          <w:tcPr>
            <w:tcW w:w="709" w:type="dxa"/>
          </w:tcPr>
          <w:p w:rsidR="00E256E6" w:rsidRDefault="00025190">
            <w:pPr>
              <w:spacing w:line="360" w:lineRule="auto"/>
              <w:jc w:val="center"/>
              <w:rPr>
                <w:rFonts w:asciiTheme="minorEastAsia" w:eastAsiaTheme="minorEastAsia" w:hAnsiTheme="minorEastAsia" w:cs="Calibri"/>
                <w:color w:val="000000"/>
                <w:sz w:val="24"/>
                <w:szCs w:val="24"/>
              </w:rPr>
            </w:pPr>
            <w:r>
              <w:rPr>
                <w:rFonts w:asciiTheme="minorEastAsia" w:eastAsiaTheme="minorEastAsia" w:hAnsiTheme="minorEastAsia" w:cs="Calibri" w:hint="eastAsia"/>
                <w:color w:val="000000"/>
                <w:sz w:val="24"/>
                <w:szCs w:val="24"/>
              </w:rPr>
              <w:lastRenderedPageBreak/>
              <w:t>12</w:t>
            </w:r>
          </w:p>
        </w:tc>
        <w:tc>
          <w:tcPr>
            <w:tcW w:w="2835" w:type="dxa"/>
          </w:tcPr>
          <w:p w:rsidR="00E256E6" w:rsidRDefault="00025190">
            <w:pPr>
              <w:spacing w:line="360" w:lineRule="auto"/>
              <w:rPr>
                <w:rFonts w:asciiTheme="minorEastAsia" w:eastAsiaTheme="minorEastAsia" w:hAnsiTheme="minorEastAsia"/>
                <w:color w:val="000000"/>
                <w:sz w:val="24"/>
                <w:szCs w:val="24"/>
              </w:rPr>
            </w:pPr>
            <w:r>
              <w:rPr>
                <w:rFonts w:asciiTheme="minorEastAsia" w:eastAsiaTheme="minorEastAsia" w:hAnsiTheme="minorEastAsia" w:cs="Calibri" w:hint="eastAsia"/>
                <w:color w:val="000000"/>
                <w:sz w:val="24"/>
                <w:szCs w:val="24"/>
              </w:rPr>
              <w:t>166105</w:t>
            </w:r>
          </w:p>
        </w:tc>
        <w:tc>
          <w:tcPr>
            <w:tcW w:w="5387" w:type="dxa"/>
          </w:tcPr>
          <w:p w:rsidR="00E256E6" w:rsidRDefault="00025190">
            <w:pPr>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信达澳银鑫安债券型证券投资基金（LOF）</w:t>
            </w:r>
          </w:p>
        </w:tc>
      </w:tr>
      <w:tr w:rsidR="00E256E6">
        <w:tc>
          <w:tcPr>
            <w:tcW w:w="709" w:type="dxa"/>
          </w:tcPr>
          <w:p w:rsidR="00E256E6" w:rsidRDefault="00025190">
            <w:pPr>
              <w:spacing w:line="360" w:lineRule="auto"/>
              <w:jc w:val="center"/>
              <w:rPr>
                <w:rFonts w:asciiTheme="minorEastAsia" w:eastAsiaTheme="minorEastAsia" w:hAnsiTheme="minorEastAsia" w:cs="Calibri"/>
                <w:color w:val="000000"/>
                <w:sz w:val="24"/>
                <w:szCs w:val="24"/>
              </w:rPr>
            </w:pPr>
            <w:r>
              <w:rPr>
                <w:rFonts w:asciiTheme="minorEastAsia" w:eastAsiaTheme="minorEastAsia" w:hAnsiTheme="minorEastAsia" w:cs="Calibri" w:hint="eastAsia"/>
                <w:color w:val="000000"/>
                <w:sz w:val="24"/>
                <w:szCs w:val="24"/>
              </w:rPr>
              <w:t>13</w:t>
            </w:r>
          </w:p>
        </w:tc>
        <w:tc>
          <w:tcPr>
            <w:tcW w:w="2835" w:type="dxa"/>
          </w:tcPr>
          <w:p w:rsidR="00E256E6" w:rsidRDefault="00025190">
            <w:pPr>
              <w:spacing w:line="360" w:lineRule="auto"/>
              <w:rPr>
                <w:rFonts w:asciiTheme="minorEastAsia" w:eastAsiaTheme="minorEastAsia" w:hAnsiTheme="minorEastAsia" w:cs="Calibri"/>
                <w:color w:val="000000"/>
                <w:sz w:val="24"/>
                <w:szCs w:val="24"/>
              </w:rPr>
            </w:pPr>
            <w:r>
              <w:rPr>
                <w:rFonts w:asciiTheme="minorEastAsia" w:eastAsiaTheme="minorEastAsia" w:hAnsiTheme="minorEastAsia" w:cs="Calibri" w:hint="eastAsia"/>
                <w:color w:val="000000"/>
                <w:sz w:val="24"/>
                <w:szCs w:val="24"/>
              </w:rPr>
              <w:t>002554</w:t>
            </w:r>
          </w:p>
        </w:tc>
        <w:tc>
          <w:tcPr>
            <w:tcW w:w="5387" w:type="dxa"/>
          </w:tcPr>
          <w:p w:rsidR="00E256E6" w:rsidRDefault="00025190">
            <w:pPr>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信达澳银纯债债券型证券投资基金</w:t>
            </w:r>
          </w:p>
        </w:tc>
      </w:tr>
      <w:tr w:rsidR="00E256E6">
        <w:tc>
          <w:tcPr>
            <w:tcW w:w="709" w:type="dxa"/>
          </w:tcPr>
          <w:p w:rsidR="00E256E6" w:rsidRDefault="00025190">
            <w:pPr>
              <w:spacing w:line="360" w:lineRule="auto"/>
              <w:jc w:val="center"/>
              <w:rPr>
                <w:rFonts w:asciiTheme="minorEastAsia" w:eastAsiaTheme="minorEastAsia" w:hAnsiTheme="minorEastAsia" w:cs="Calibri"/>
                <w:color w:val="000000"/>
                <w:sz w:val="24"/>
                <w:szCs w:val="24"/>
              </w:rPr>
            </w:pPr>
            <w:r>
              <w:rPr>
                <w:rFonts w:asciiTheme="minorEastAsia" w:eastAsiaTheme="minorEastAsia" w:hAnsiTheme="minorEastAsia" w:cs="Calibri" w:hint="eastAsia"/>
                <w:color w:val="000000"/>
                <w:sz w:val="24"/>
                <w:szCs w:val="24"/>
              </w:rPr>
              <w:t>14</w:t>
            </w:r>
          </w:p>
        </w:tc>
        <w:tc>
          <w:tcPr>
            <w:tcW w:w="2835" w:type="dxa"/>
          </w:tcPr>
          <w:p w:rsidR="00E256E6" w:rsidRDefault="00025190">
            <w:pPr>
              <w:spacing w:line="360" w:lineRule="auto"/>
              <w:rPr>
                <w:rFonts w:asciiTheme="minorEastAsia" w:eastAsiaTheme="minorEastAsia" w:hAnsiTheme="minorEastAsia" w:cs="Calibri"/>
                <w:color w:val="000000"/>
                <w:sz w:val="24"/>
                <w:szCs w:val="24"/>
              </w:rPr>
            </w:pPr>
            <w:r>
              <w:rPr>
                <w:rFonts w:asciiTheme="minorEastAsia" w:eastAsiaTheme="minorEastAsia" w:hAnsiTheme="minorEastAsia" w:cs="宋体"/>
                <w:color w:val="333333"/>
                <w:kern w:val="0"/>
                <w:sz w:val="24"/>
                <w:szCs w:val="24"/>
              </w:rPr>
              <w:t>00</w:t>
            </w:r>
            <w:r>
              <w:rPr>
                <w:rFonts w:asciiTheme="minorEastAsia" w:eastAsiaTheme="minorEastAsia" w:hAnsiTheme="minorEastAsia" w:cs="宋体" w:hint="eastAsia"/>
                <w:color w:val="333333"/>
                <w:kern w:val="0"/>
                <w:sz w:val="24"/>
                <w:szCs w:val="24"/>
              </w:rPr>
              <w:t>3171</w:t>
            </w:r>
          </w:p>
        </w:tc>
        <w:tc>
          <w:tcPr>
            <w:tcW w:w="5387" w:type="dxa"/>
          </w:tcPr>
          <w:p w:rsidR="00E256E6" w:rsidRDefault="00025190">
            <w:pPr>
              <w:spacing w:line="360" w:lineRule="auto"/>
              <w:rPr>
                <w:rFonts w:asciiTheme="minorEastAsia" w:eastAsiaTheme="minorEastAsia" w:hAnsiTheme="minorEastAsia"/>
                <w:color w:val="000000"/>
                <w:sz w:val="24"/>
                <w:szCs w:val="24"/>
              </w:rPr>
            </w:pPr>
            <w:r>
              <w:rPr>
                <w:rFonts w:asciiTheme="minorEastAsia" w:eastAsiaTheme="minorEastAsia" w:hAnsiTheme="minorEastAsia" w:cs="宋体" w:hint="eastAsia"/>
                <w:color w:val="333333"/>
                <w:kern w:val="0"/>
                <w:sz w:val="24"/>
                <w:szCs w:val="24"/>
              </w:rPr>
              <w:t>信达澳银</w:t>
            </w:r>
            <w:r>
              <w:rPr>
                <w:rFonts w:asciiTheme="minorEastAsia" w:eastAsiaTheme="minorEastAsia" w:hAnsiTheme="minorEastAsia" w:hint="eastAsia"/>
                <w:color w:val="000000"/>
                <w:sz w:val="24"/>
                <w:szCs w:val="24"/>
              </w:rPr>
              <w:t>慧理财货币市场</w:t>
            </w:r>
            <w:r>
              <w:rPr>
                <w:rFonts w:asciiTheme="minorEastAsia" w:eastAsiaTheme="minorEastAsia" w:hAnsiTheme="minorEastAsia" w:cs="宋体" w:hint="eastAsia"/>
                <w:color w:val="333333"/>
                <w:kern w:val="0"/>
                <w:sz w:val="24"/>
                <w:szCs w:val="24"/>
              </w:rPr>
              <w:t>基金</w:t>
            </w:r>
          </w:p>
        </w:tc>
      </w:tr>
      <w:tr w:rsidR="00E256E6">
        <w:tc>
          <w:tcPr>
            <w:tcW w:w="709" w:type="dxa"/>
          </w:tcPr>
          <w:p w:rsidR="00E256E6" w:rsidRDefault="00025190">
            <w:pPr>
              <w:spacing w:line="360" w:lineRule="auto"/>
              <w:jc w:val="center"/>
              <w:rPr>
                <w:rFonts w:asciiTheme="minorEastAsia" w:eastAsiaTheme="minorEastAsia" w:hAnsiTheme="minorEastAsia" w:cs="Calibri"/>
                <w:color w:val="000000"/>
                <w:sz w:val="24"/>
                <w:szCs w:val="24"/>
              </w:rPr>
            </w:pPr>
            <w:r>
              <w:rPr>
                <w:rFonts w:asciiTheme="minorEastAsia" w:eastAsiaTheme="minorEastAsia" w:hAnsiTheme="minorEastAsia" w:cs="Calibri" w:hint="eastAsia"/>
                <w:color w:val="000000"/>
                <w:sz w:val="24"/>
                <w:szCs w:val="24"/>
              </w:rPr>
              <w:t>15</w:t>
            </w:r>
          </w:p>
        </w:tc>
        <w:tc>
          <w:tcPr>
            <w:tcW w:w="2835" w:type="dxa"/>
          </w:tcPr>
          <w:p w:rsidR="00E256E6" w:rsidRDefault="00025190">
            <w:pPr>
              <w:spacing w:line="360" w:lineRule="auto"/>
              <w:rPr>
                <w:rFonts w:asciiTheme="minorEastAsia" w:eastAsiaTheme="minorEastAsia" w:hAnsiTheme="minorEastAsia" w:cs="Calibri"/>
                <w:color w:val="000000"/>
                <w:sz w:val="24"/>
                <w:szCs w:val="24"/>
              </w:rPr>
            </w:pPr>
            <w:r>
              <w:rPr>
                <w:rFonts w:asciiTheme="minorEastAsia" w:eastAsiaTheme="minorEastAsia" w:hAnsiTheme="minorEastAsia" w:hint="eastAsia"/>
                <w:color w:val="000000"/>
                <w:sz w:val="24"/>
                <w:szCs w:val="24"/>
              </w:rPr>
              <w:t>003291</w:t>
            </w:r>
          </w:p>
        </w:tc>
        <w:tc>
          <w:tcPr>
            <w:tcW w:w="5387" w:type="dxa"/>
          </w:tcPr>
          <w:p w:rsidR="00E256E6" w:rsidRDefault="00025190">
            <w:pPr>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信达澳银健康中国灵活配置混合型证券投资基金</w:t>
            </w:r>
          </w:p>
        </w:tc>
      </w:tr>
      <w:tr w:rsidR="00E256E6">
        <w:tc>
          <w:tcPr>
            <w:tcW w:w="709" w:type="dxa"/>
          </w:tcPr>
          <w:p w:rsidR="00E256E6" w:rsidRDefault="00025190">
            <w:pPr>
              <w:spacing w:line="360" w:lineRule="auto"/>
              <w:jc w:val="center"/>
              <w:rPr>
                <w:rFonts w:asciiTheme="minorEastAsia" w:eastAsiaTheme="minorEastAsia" w:hAnsiTheme="minorEastAsia" w:cs="Calibri"/>
                <w:color w:val="000000"/>
                <w:sz w:val="24"/>
                <w:szCs w:val="24"/>
              </w:rPr>
            </w:pPr>
            <w:r>
              <w:rPr>
                <w:rFonts w:asciiTheme="minorEastAsia" w:eastAsiaTheme="minorEastAsia" w:hAnsiTheme="minorEastAsia" w:cs="Calibri" w:hint="eastAsia"/>
                <w:color w:val="000000"/>
                <w:sz w:val="24"/>
                <w:szCs w:val="24"/>
              </w:rPr>
              <w:t>16</w:t>
            </w:r>
          </w:p>
        </w:tc>
        <w:tc>
          <w:tcPr>
            <w:tcW w:w="2835" w:type="dxa"/>
          </w:tcPr>
          <w:p w:rsidR="00E256E6" w:rsidRDefault="00025190">
            <w:pPr>
              <w:spacing w:line="360" w:lineRule="auto"/>
              <w:rPr>
                <w:rFonts w:asciiTheme="minorEastAsia" w:eastAsiaTheme="minorEastAsia" w:hAnsiTheme="minorEastAsia"/>
                <w:color w:val="000000"/>
                <w:sz w:val="24"/>
                <w:szCs w:val="24"/>
              </w:rPr>
            </w:pPr>
            <w:r>
              <w:rPr>
                <w:rFonts w:asciiTheme="minorEastAsia" w:eastAsiaTheme="minorEastAsia" w:hAnsiTheme="minorEastAsia" w:cs="Tahoma"/>
                <w:color w:val="000000"/>
                <w:sz w:val="24"/>
                <w:szCs w:val="24"/>
              </w:rPr>
              <w:t>005168</w:t>
            </w:r>
          </w:p>
        </w:tc>
        <w:tc>
          <w:tcPr>
            <w:tcW w:w="5387" w:type="dxa"/>
          </w:tcPr>
          <w:p w:rsidR="00E256E6" w:rsidRDefault="00025190">
            <w:pPr>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信达澳银</w:t>
            </w:r>
            <w:r>
              <w:rPr>
                <w:rFonts w:asciiTheme="minorEastAsia" w:eastAsiaTheme="minorEastAsia" w:hAnsiTheme="minorEastAsia" w:hint="eastAsia"/>
                <w:bCs/>
                <w:sz w:val="24"/>
                <w:szCs w:val="24"/>
              </w:rPr>
              <w:t>新征程定期开放灵活配置混合型证券投资基金</w:t>
            </w:r>
          </w:p>
        </w:tc>
      </w:tr>
      <w:tr w:rsidR="00E256E6">
        <w:tc>
          <w:tcPr>
            <w:tcW w:w="709" w:type="dxa"/>
          </w:tcPr>
          <w:p w:rsidR="00E256E6" w:rsidRDefault="00025190">
            <w:pPr>
              <w:spacing w:line="360" w:lineRule="auto"/>
              <w:jc w:val="center"/>
              <w:rPr>
                <w:rFonts w:asciiTheme="minorEastAsia" w:eastAsiaTheme="minorEastAsia" w:hAnsiTheme="minorEastAsia" w:cs="Calibri"/>
                <w:color w:val="000000"/>
                <w:sz w:val="24"/>
                <w:szCs w:val="24"/>
              </w:rPr>
            </w:pPr>
            <w:r>
              <w:rPr>
                <w:rFonts w:asciiTheme="minorEastAsia" w:eastAsiaTheme="minorEastAsia" w:hAnsiTheme="minorEastAsia" w:cs="Calibri" w:hint="eastAsia"/>
                <w:color w:val="000000"/>
                <w:sz w:val="24"/>
                <w:szCs w:val="24"/>
              </w:rPr>
              <w:t>17</w:t>
            </w:r>
          </w:p>
        </w:tc>
        <w:tc>
          <w:tcPr>
            <w:tcW w:w="2835" w:type="dxa"/>
          </w:tcPr>
          <w:p w:rsidR="00E256E6" w:rsidRDefault="00025190">
            <w:pPr>
              <w:spacing w:line="360" w:lineRule="auto"/>
              <w:rPr>
                <w:rFonts w:asciiTheme="minorEastAsia" w:eastAsiaTheme="minorEastAsia" w:hAnsiTheme="minorEastAsia"/>
                <w:color w:val="000000"/>
                <w:sz w:val="24"/>
                <w:szCs w:val="24"/>
              </w:rPr>
            </w:pPr>
            <w:r>
              <w:rPr>
                <w:rFonts w:asciiTheme="minorEastAsia" w:eastAsiaTheme="minorEastAsia" w:hAnsiTheme="minorEastAsia" w:cs="Tahoma"/>
                <w:color w:val="000000"/>
                <w:sz w:val="24"/>
                <w:szCs w:val="24"/>
              </w:rPr>
              <w:t>005179</w:t>
            </w:r>
          </w:p>
        </w:tc>
        <w:tc>
          <w:tcPr>
            <w:tcW w:w="5387" w:type="dxa"/>
          </w:tcPr>
          <w:p w:rsidR="00E256E6" w:rsidRDefault="00025190">
            <w:pPr>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信达澳银</w:t>
            </w:r>
            <w:r>
              <w:rPr>
                <w:rFonts w:asciiTheme="minorEastAsia" w:eastAsiaTheme="minorEastAsia" w:hAnsiTheme="minorEastAsia" w:hint="eastAsia"/>
                <w:bCs/>
                <w:sz w:val="24"/>
                <w:szCs w:val="24"/>
              </w:rPr>
              <w:t>新起点定期开放灵活配置混合型证券投资基金</w:t>
            </w:r>
          </w:p>
        </w:tc>
      </w:tr>
    </w:tbl>
    <w:p w:rsidR="00E256E6" w:rsidRDefault="00025190">
      <w:pPr>
        <w:pStyle w:val="1"/>
        <w:widowControl/>
        <w:numPr>
          <w:ilvl w:val="0"/>
          <w:numId w:val="1"/>
        </w:numPr>
        <w:spacing w:before="75" w:after="75" w:line="360" w:lineRule="auto"/>
        <w:ind w:right="75" w:firstLineChars="0"/>
        <w:rPr>
          <w:rFonts w:asciiTheme="minorEastAsia" w:eastAsiaTheme="minorEastAsia" w:hAnsiTheme="minorEastAsia" w:cs="宋体"/>
          <w:color w:val="333333"/>
          <w:kern w:val="0"/>
          <w:sz w:val="24"/>
          <w:szCs w:val="24"/>
        </w:rPr>
      </w:pPr>
      <w:r>
        <w:rPr>
          <w:rFonts w:ascii="宋体" w:hAnsi="宋体" w:cs="宋体" w:hint="eastAsia"/>
          <w:color w:val="000000"/>
          <w:kern w:val="0"/>
          <w:sz w:val="24"/>
          <w:szCs w:val="24"/>
        </w:rPr>
        <w:t>开通基金</w:t>
      </w:r>
      <w:r>
        <w:rPr>
          <w:rFonts w:asciiTheme="minorEastAsia" w:eastAsiaTheme="minorEastAsia" w:hAnsiTheme="minorEastAsia" w:cs="宋体" w:hint="eastAsia"/>
          <w:color w:val="000000"/>
          <w:kern w:val="0"/>
          <w:sz w:val="24"/>
          <w:szCs w:val="24"/>
        </w:rPr>
        <w:t>转换业务基本情况</w:t>
      </w:r>
    </w:p>
    <w:p w:rsidR="00E256E6" w:rsidRDefault="00025190">
      <w:pPr>
        <w:pStyle w:val="ac"/>
        <w:spacing w:line="360" w:lineRule="auto"/>
        <w:ind w:firstLineChars="177" w:firstLine="425"/>
        <w:jc w:val="left"/>
        <w:rPr>
          <w:rFonts w:ascii="宋体" w:hAnsi="宋体" w:cs="宋体"/>
          <w:color w:val="000000"/>
          <w:kern w:val="0"/>
          <w:sz w:val="24"/>
          <w:szCs w:val="24"/>
        </w:rPr>
      </w:pPr>
      <w:r>
        <w:rPr>
          <w:rFonts w:ascii="宋体" w:hAnsi="宋体" w:cs="宋体" w:hint="eastAsia"/>
          <w:color w:val="000000"/>
          <w:kern w:val="0"/>
          <w:sz w:val="24"/>
          <w:szCs w:val="24"/>
        </w:rPr>
        <w:t>投资者通过</w:t>
      </w:r>
      <w:r>
        <w:rPr>
          <w:rFonts w:asciiTheme="minorEastAsia" w:eastAsiaTheme="minorEastAsia" w:hAnsiTheme="minorEastAsia" w:hint="eastAsia"/>
          <w:sz w:val="24"/>
          <w:szCs w:val="24"/>
        </w:rPr>
        <w:t>东方财富证券</w:t>
      </w:r>
      <w:r>
        <w:rPr>
          <w:rFonts w:ascii="宋体" w:hAnsi="宋体" w:cs="宋体" w:hint="eastAsia"/>
          <w:color w:val="000000"/>
          <w:kern w:val="0"/>
          <w:sz w:val="24"/>
          <w:szCs w:val="24"/>
        </w:rPr>
        <w:t>办理本公司旗下基金转换业务，在不违反法律法规和基金合同的相关要求下，基金转换我</w:t>
      </w:r>
      <w:r>
        <w:rPr>
          <w:rFonts w:ascii="宋体" w:hAnsi="宋体" w:cs="宋体"/>
          <w:color w:val="000000"/>
          <w:kern w:val="0"/>
          <w:sz w:val="24"/>
          <w:szCs w:val="24"/>
        </w:rPr>
        <w:t>司</w:t>
      </w:r>
      <w:r>
        <w:rPr>
          <w:rFonts w:ascii="宋体" w:hAnsi="宋体" w:cs="宋体" w:hint="eastAsia"/>
          <w:color w:val="000000"/>
          <w:kern w:val="0"/>
          <w:sz w:val="24"/>
          <w:szCs w:val="24"/>
        </w:rPr>
        <w:t>不设限制，具体</w:t>
      </w:r>
      <w:r>
        <w:rPr>
          <w:rFonts w:ascii="宋体" w:hAnsi="宋体" w:cs="宋体"/>
          <w:color w:val="000000"/>
          <w:kern w:val="0"/>
          <w:sz w:val="24"/>
          <w:szCs w:val="24"/>
        </w:rPr>
        <w:t>开通</w:t>
      </w:r>
      <w:r>
        <w:rPr>
          <w:rFonts w:ascii="宋体" w:hAnsi="宋体" w:cs="宋体" w:hint="eastAsia"/>
          <w:color w:val="000000"/>
          <w:kern w:val="0"/>
          <w:sz w:val="24"/>
          <w:szCs w:val="24"/>
        </w:rPr>
        <w:t>状态</w:t>
      </w:r>
      <w:r>
        <w:rPr>
          <w:rFonts w:ascii="宋体" w:hAnsi="宋体" w:cs="宋体"/>
          <w:color w:val="000000"/>
          <w:kern w:val="0"/>
          <w:sz w:val="24"/>
          <w:szCs w:val="24"/>
        </w:rPr>
        <w:t>和时间均以</w:t>
      </w:r>
      <w:r>
        <w:rPr>
          <w:rFonts w:asciiTheme="minorEastAsia" w:eastAsiaTheme="minorEastAsia" w:hAnsiTheme="minorEastAsia" w:hint="eastAsia"/>
          <w:sz w:val="24"/>
          <w:szCs w:val="24"/>
        </w:rPr>
        <w:t>东方财富证券</w:t>
      </w:r>
      <w:r>
        <w:rPr>
          <w:rFonts w:asciiTheme="minorEastAsia" w:eastAsiaTheme="minorEastAsia" w:hAnsiTheme="minorEastAsia" w:hint="eastAsia"/>
          <w:color w:val="000000"/>
          <w:sz w:val="24"/>
          <w:szCs w:val="24"/>
        </w:rPr>
        <w:t>官方公告为</w:t>
      </w:r>
      <w:r>
        <w:rPr>
          <w:rFonts w:asciiTheme="minorEastAsia" w:eastAsiaTheme="minorEastAsia" w:hAnsiTheme="minorEastAsia"/>
          <w:color w:val="000000"/>
          <w:sz w:val="24"/>
          <w:szCs w:val="24"/>
        </w:rPr>
        <w:t>准</w:t>
      </w:r>
      <w:r>
        <w:rPr>
          <w:rFonts w:ascii="宋体" w:hAnsi="宋体" w:cs="宋体" w:hint="eastAsia"/>
          <w:color w:val="000000"/>
          <w:kern w:val="0"/>
          <w:sz w:val="24"/>
          <w:szCs w:val="24"/>
        </w:rPr>
        <w:t>。</w:t>
      </w:r>
    </w:p>
    <w:p w:rsidR="00E256E6" w:rsidRDefault="00025190">
      <w:pPr>
        <w:pStyle w:val="1"/>
        <w:widowControl/>
        <w:spacing w:before="75" w:after="75" w:line="360" w:lineRule="auto"/>
        <w:ind w:right="75" w:firstLineChars="181" w:firstLine="434"/>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投资者可在</w:t>
      </w:r>
      <w:r>
        <w:rPr>
          <w:rFonts w:asciiTheme="minorEastAsia" w:eastAsiaTheme="minorEastAsia" w:hAnsiTheme="minorEastAsia" w:hint="eastAsia"/>
          <w:sz w:val="24"/>
          <w:szCs w:val="24"/>
        </w:rPr>
        <w:t>东方财富证券</w:t>
      </w:r>
      <w:r>
        <w:rPr>
          <w:rFonts w:asciiTheme="minorEastAsia" w:eastAsiaTheme="minorEastAsia" w:hAnsiTheme="minorEastAsia" w:cs="宋体" w:hint="eastAsia"/>
          <w:color w:val="000000"/>
          <w:kern w:val="0"/>
          <w:sz w:val="24"/>
          <w:szCs w:val="24"/>
        </w:rPr>
        <w:t>办理本公司指定基金之间的转换业务。</w:t>
      </w:r>
      <w:r>
        <w:rPr>
          <w:rFonts w:asciiTheme="minorEastAsia" w:eastAsiaTheme="minorEastAsia" w:hAnsiTheme="minorEastAsia" w:hint="eastAsia"/>
          <w:color w:val="000000"/>
          <w:sz w:val="24"/>
          <w:szCs w:val="24"/>
        </w:rPr>
        <w:t>信达澳银鑫安债券基金（LOF）、信达澳银</w:t>
      </w:r>
      <w:r>
        <w:rPr>
          <w:rFonts w:asciiTheme="minorEastAsia" w:eastAsiaTheme="minorEastAsia" w:hAnsiTheme="minorEastAsia" w:hint="eastAsia"/>
          <w:bCs/>
          <w:sz w:val="24"/>
          <w:szCs w:val="24"/>
        </w:rPr>
        <w:t>新征程基金</w:t>
      </w:r>
      <w:r>
        <w:rPr>
          <w:rFonts w:asciiTheme="minorEastAsia" w:eastAsiaTheme="minorEastAsia" w:hAnsiTheme="minorEastAsia"/>
          <w:bCs/>
          <w:sz w:val="24"/>
          <w:szCs w:val="24"/>
        </w:rPr>
        <w:t>、</w:t>
      </w:r>
      <w:r>
        <w:rPr>
          <w:rFonts w:asciiTheme="minorEastAsia" w:eastAsiaTheme="minorEastAsia" w:hAnsiTheme="minorEastAsia" w:hint="eastAsia"/>
          <w:color w:val="000000"/>
          <w:sz w:val="24"/>
          <w:szCs w:val="24"/>
        </w:rPr>
        <w:t>信达澳银</w:t>
      </w:r>
      <w:r>
        <w:rPr>
          <w:rFonts w:asciiTheme="minorEastAsia" w:eastAsiaTheme="minorEastAsia" w:hAnsiTheme="minorEastAsia" w:hint="eastAsia"/>
          <w:bCs/>
          <w:sz w:val="24"/>
          <w:szCs w:val="24"/>
        </w:rPr>
        <w:t>新起点基金</w:t>
      </w:r>
      <w:r>
        <w:rPr>
          <w:rFonts w:asciiTheme="minorEastAsia" w:eastAsiaTheme="minorEastAsia" w:hAnsiTheme="minorEastAsia" w:hint="eastAsia"/>
          <w:color w:val="000000"/>
          <w:sz w:val="24"/>
          <w:szCs w:val="24"/>
        </w:rPr>
        <w:t>不能与本公司旗下其他基金相互转换，</w:t>
      </w:r>
      <w:r>
        <w:rPr>
          <w:rFonts w:asciiTheme="minorEastAsia" w:eastAsiaTheme="minorEastAsia" w:hAnsiTheme="minorEastAsia" w:cs="宋体" w:hint="eastAsia"/>
          <w:color w:val="000000"/>
          <w:kern w:val="0"/>
          <w:sz w:val="24"/>
          <w:szCs w:val="24"/>
        </w:rPr>
        <w:t>信达澳银稳定价值债券</w:t>
      </w:r>
      <w:r>
        <w:rPr>
          <w:rFonts w:asciiTheme="minorEastAsia" w:eastAsiaTheme="minorEastAsia" w:hAnsiTheme="minorEastAsia" w:cs="宋体"/>
          <w:color w:val="000000"/>
          <w:kern w:val="0"/>
          <w:sz w:val="24"/>
          <w:szCs w:val="24"/>
        </w:rPr>
        <w:t>A</w:t>
      </w:r>
      <w:r>
        <w:rPr>
          <w:rFonts w:asciiTheme="minorEastAsia" w:eastAsiaTheme="minorEastAsia" w:hAnsiTheme="minorEastAsia" w:cs="宋体" w:hint="eastAsia"/>
          <w:color w:val="000000"/>
          <w:kern w:val="0"/>
          <w:sz w:val="24"/>
          <w:szCs w:val="24"/>
        </w:rPr>
        <w:t>、</w:t>
      </w:r>
      <w:r>
        <w:rPr>
          <w:rFonts w:asciiTheme="minorEastAsia" w:eastAsiaTheme="minorEastAsia" w:hAnsiTheme="minorEastAsia" w:cs="宋体"/>
          <w:color w:val="000000"/>
          <w:kern w:val="0"/>
          <w:sz w:val="24"/>
          <w:szCs w:val="24"/>
        </w:rPr>
        <w:t>B</w:t>
      </w:r>
      <w:r>
        <w:rPr>
          <w:rFonts w:asciiTheme="minorEastAsia" w:eastAsiaTheme="minorEastAsia" w:hAnsiTheme="minorEastAsia" w:cs="宋体" w:hint="eastAsia"/>
          <w:color w:val="000000"/>
          <w:kern w:val="0"/>
          <w:sz w:val="24"/>
          <w:szCs w:val="24"/>
        </w:rPr>
        <w:t>类基金份额之间不能相互转换，</w:t>
      </w:r>
      <w:r>
        <w:rPr>
          <w:rFonts w:asciiTheme="minorEastAsia" w:eastAsiaTheme="minorEastAsia" w:hAnsiTheme="minorEastAsia" w:hint="eastAsia"/>
          <w:color w:val="000000"/>
          <w:sz w:val="24"/>
          <w:szCs w:val="24"/>
        </w:rPr>
        <w:t>信达澳银信用债债券</w:t>
      </w:r>
      <w:r>
        <w:rPr>
          <w:rFonts w:asciiTheme="minorEastAsia" w:eastAsiaTheme="minorEastAsia" w:hAnsiTheme="minorEastAsia" w:cs="宋体" w:hint="eastAsia"/>
          <w:color w:val="000000"/>
          <w:sz w:val="24"/>
          <w:szCs w:val="24"/>
        </w:rPr>
        <w:t>A、</w:t>
      </w:r>
      <w:r>
        <w:rPr>
          <w:rFonts w:asciiTheme="minorEastAsia" w:eastAsiaTheme="minorEastAsia" w:hAnsiTheme="minorEastAsia" w:hint="eastAsia"/>
          <w:color w:val="000000"/>
          <w:sz w:val="24"/>
          <w:szCs w:val="24"/>
        </w:rPr>
        <w:t>C类</w:t>
      </w:r>
      <w:r>
        <w:rPr>
          <w:rFonts w:asciiTheme="minorEastAsia" w:eastAsiaTheme="minorEastAsia" w:hAnsiTheme="minorEastAsia" w:cs="宋体" w:hint="eastAsia"/>
          <w:color w:val="000000"/>
          <w:kern w:val="0"/>
          <w:sz w:val="24"/>
          <w:szCs w:val="24"/>
        </w:rPr>
        <w:t>基金份额之间不能相互转换，</w:t>
      </w:r>
      <w:r>
        <w:rPr>
          <w:rFonts w:asciiTheme="minorEastAsia" w:eastAsiaTheme="minorEastAsia" w:hAnsiTheme="minorEastAsia" w:hint="eastAsia"/>
          <w:color w:val="000000"/>
          <w:sz w:val="24"/>
          <w:szCs w:val="24"/>
        </w:rPr>
        <w:t>信达澳银慧管家货币基金</w:t>
      </w:r>
      <w:r>
        <w:rPr>
          <w:rFonts w:asciiTheme="minorEastAsia" w:eastAsiaTheme="minorEastAsia" w:hAnsiTheme="minorEastAsia" w:cs="宋体" w:hint="eastAsia"/>
          <w:color w:val="000000"/>
          <w:sz w:val="24"/>
          <w:szCs w:val="24"/>
        </w:rPr>
        <w:t>A、</w:t>
      </w:r>
      <w:r>
        <w:rPr>
          <w:rFonts w:asciiTheme="minorEastAsia" w:eastAsiaTheme="minorEastAsia" w:hAnsiTheme="minorEastAsia" w:hint="eastAsia"/>
          <w:color w:val="000000"/>
          <w:sz w:val="24"/>
          <w:szCs w:val="24"/>
        </w:rPr>
        <w:t>C、E类</w:t>
      </w:r>
      <w:r>
        <w:rPr>
          <w:rFonts w:asciiTheme="minorEastAsia" w:eastAsiaTheme="minorEastAsia" w:hAnsiTheme="minorEastAsia" w:cs="宋体" w:hint="eastAsia"/>
          <w:color w:val="000000"/>
          <w:kern w:val="0"/>
          <w:sz w:val="24"/>
          <w:szCs w:val="24"/>
        </w:rPr>
        <w:t>基金份额之间不能相互转换。投资者欲了解详细信息，请仔细阅读相关基金的基金合同、招募说明书和招募说明书（更新）。</w:t>
      </w:r>
    </w:p>
    <w:p w:rsidR="00E256E6" w:rsidRDefault="00025190">
      <w:pPr>
        <w:pStyle w:val="1"/>
        <w:widowControl/>
        <w:numPr>
          <w:ilvl w:val="0"/>
          <w:numId w:val="1"/>
        </w:numPr>
        <w:spacing w:before="75" w:after="75" w:line="360" w:lineRule="auto"/>
        <w:ind w:right="75" w:firstLineChars="0"/>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费率优惠方案</w:t>
      </w:r>
    </w:p>
    <w:p w:rsidR="00E256E6" w:rsidRDefault="00025190">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1、费率优惠内容</w:t>
      </w:r>
    </w:p>
    <w:p w:rsidR="00E256E6" w:rsidRDefault="00025190">
      <w:pPr>
        <w:spacing w:line="360" w:lineRule="auto"/>
        <w:ind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投资者通过</w:t>
      </w:r>
      <w:r>
        <w:rPr>
          <w:rFonts w:asciiTheme="minorEastAsia" w:eastAsiaTheme="minorEastAsia" w:hAnsiTheme="minorEastAsia" w:hint="eastAsia"/>
          <w:sz w:val="24"/>
          <w:szCs w:val="24"/>
        </w:rPr>
        <w:t>东方财富证券</w:t>
      </w:r>
      <w:r>
        <w:rPr>
          <w:rFonts w:asciiTheme="minorEastAsia" w:eastAsiaTheme="minorEastAsia" w:hAnsiTheme="minorEastAsia" w:cs="宋体" w:hint="eastAsia"/>
          <w:color w:val="000000"/>
          <w:kern w:val="0"/>
          <w:sz w:val="24"/>
          <w:szCs w:val="24"/>
        </w:rPr>
        <w:t>认购或</w:t>
      </w:r>
      <w:r>
        <w:rPr>
          <w:rFonts w:asciiTheme="minorEastAsia" w:eastAsiaTheme="minorEastAsia" w:hAnsiTheme="minorEastAsia" w:hint="eastAsia"/>
          <w:color w:val="000000"/>
          <w:sz w:val="24"/>
          <w:szCs w:val="24"/>
        </w:rPr>
        <w:t>申购本公司旗下基金，在不违反法律法规和基金合同的相关要求下，</w:t>
      </w:r>
      <w:r>
        <w:rPr>
          <w:rFonts w:asciiTheme="minorEastAsia" w:eastAsiaTheme="minorEastAsia" w:hAnsiTheme="minorEastAsia" w:cs="宋体" w:hint="eastAsia"/>
          <w:color w:val="000000"/>
          <w:kern w:val="0"/>
          <w:sz w:val="24"/>
          <w:szCs w:val="24"/>
        </w:rPr>
        <w:t>认购或</w:t>
      </w:r>
      <w:r>
        <w:rPr>
          <w:rFonts w:asciiTheme="minorEastAsia" w:eastAsiaTheme="minorEastAsia" w:hAnsiTheme="minorEastAsia" w:hint="eastAsia"/>
          <w:color w:val="000000"/>
          <w:sz w:val="24"/>
          <w:szCs w:val="24"/>
        </w:rPr>
        <w:t>申购费率不设折扣限制，具体折扣费率以</w:t>
      </w:r>
      <w:r>
        <w:rPr>
          <w:rFonts w:asciiTheme="minorEastAsia" w:eastAsiaTheme="minorEastAsia" w:hAnsiTheme="minorEastAsia" w:hint="eastAsia"/>
          <w:sz w:val="24"/>
          <w:szCs w:val="24"/>
        </w:rPr>
        <w:t>东方财富证券</w:t>
      </w:r>
      <w:r>
        <w:rPr>
          <w:rFonts w:asciiTheme="minorEastAsia" w:eastAsiaTheme="minorEastAsia" w:hAnsiTheme="minorEastAsia" w:cs="Tahoma" w:hint="eastAsia"/>
          <w:color w:val="000000"/>
          <w:sz w:val="24"/>
          <w:szCs w:val="24"/>
        </w:rPr>
        <w:t>的</w:t>
      </w:r>
      <w:r>
        <w:rPr>
          <w:rFonts w:asciiTheme="minorEastAsia" w:eastAsiaTheme="minorEastAsia" w:hAnsiTheme="minorEastAsia" w:hint="eastAsia"/>
          <w:color w:val="000000"/>
          <w:sz w:val="24"/>
          <w:szCs w:val="24"/>
        </w:rPr>
        <w:t>官方公告为准。</w:t>
      </w:r>
      <w:r>
        <w:rPr>
          <w:rFonts w:asciiTheme="minorEastAsia" w:eastAsiaTheme="minorEastAsia" w:hAnsiTheme="minorEastAsia"/>
          <w:color w:val="000000"/>
          <w:sz w:val="24"/>
          <w:szCs w:val="24"/>
        </w:rPr>
        <w:t>基金费率请详见基金合同、招募说明书</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更新</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等法律文件，以及本公司发布的最新业务公告。</w:t>
      </w:r>
    </w:p>
    <w:p w:rsidR="00E256E6" w:rsidRDefault="00025190">
      <w:pPr>
        <w:spacing w:line="360" w:lineRule="auto"/>
        <w:ind w:firstLineChars="200" w:firstLine="480"/>
        <w:jc w:val="left"/>
        <w:rPr>
          <w:rFonts w:asciiTheme="minorEastAsia" w:eastAsiaTheme="minorEastAsia" w:hAnsiTheme="minorEastAsia" w:cs="宋体"/>
          <w:color w:val="000000"/>
          <w:kern w:val="0"/>
          <w:sz w:val="24"/>
          <w:szCs w:val="24"/>
        </w:rPr>
      </w:pPr>
      <w:r>
        <w:rPr>
          <w:rFonts w:asciiTheme="minorEastAsia" w:eastAsiaTheme="minorEastAsia" w:hAnsiTheme="minorEastAsia" w:hint="eastAsia"/>
          <w:color w:val="000000"/>
          <w:sz w:val="24"/>
          <w:szCs w:val="24"/>
        </w:rPr>
        <w:t>费率优惠期限内，如本公司新增通过</w:t>
      </w:r>
      <w:r>
        <w:rPr>
          <w:rFonts w:asciiTheme="minorEastAsia" w:eastAsiaTheme="minorEastAsia" w:hAnsiTheme="minorEastAsia" w:hint="eastAsia"/>
          <w:sz w:val="24"/>
          <w:szCs w:val="24"/>
        </w:rPr>
        <w:t>东方财富证券</w:t>
      </w:r>
      <w:r>
        <w:rPr>
          <w:rFonts w:asciiTheme="minorEastAsia" w:eastAsiaTheme="minorEastAsia" w:hAnsiTheme="minorEastAsia" w:hint="eastAsia"/>
          <w:color w:val="000000"/>
          <w:sz w:val="24"/>
          <w:szCs w:val="24"/>
        </w:rPr>
        <w:t>代销的基金产品，则自该基金产品开放</w:t>
      </w:r>
      <w:r>
        <w:rPr>
          <w:rFonts w:asciiTheme="minorEastAsia" w:eastAsiaTheme="minorEastAsia" w:hAnsiTheme="minorEastAsia" w:cs="宋体" w:hint="eastAsia"/>
          <w:color w:val="000000"/>
          <w:kern w:val="0"/>
          <w:sz w:val="24"/>
          <w:szCs w:val="24"/>
        </w:rPr>
        <w:t>认购或</w:t>
      </w:r>
      <w:r>
        <w:rPr>
          <w:rFonts w:asciiTheme="minorEastAsia" w:eastAsiaTheme="minorEastAsia" w:hAnsiTheme="minorEastAsia" w:hint="eastAsia"/>
          <w:color w:val="000000"/>
          <w:sz w:val="24"/>
          <w:szCs w:val="24"/>
        </w:rPr>
        <w:t>申购当日起，将同时开通该基金上述优惠活动。</w:t>
      </w:r>
    </w:p>
    <w:p w:rsidR="00E256E6" w:rsidRDefault="00025190">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2、费率</w:t>
      </w:r>
      <w:r>
        <w:rPr>
          <w:rFonts w:asciiTheme="minorEastAsia" w:eastAsiaTheme="minorEastAsia" w:hAnsiTheme="minorEastAsia"/>
          <w:color w:val="000000"/>
          <w:sz w:val="24"/>
          <w:szCs w:val="24"/>
        </w:rPr>
        <w:t xml:space="preserve">优惠期限 </w:t>
      </w:r>
    </w:p>
    <w:p w:rsidR="00E256E6" w:rsidRDefault="00025190">
      <w:pPr>
        <w:spacing w:line="360" w:lineRule="auto"/>
        <w:ind w:leftChars="264" w:left="1154" w:hangingChars="250" w:hanging="600"/>
        <w:rPr>
          <w:rFonts w:asciiTheme="minorEastAsia" w:eastAsiaTheme="minorEastAsia" w:hAnsiTheme="minorEastAsia" w:cs="宋体"/>
          <w:color w:val="000000"/>
          <w:kern w:val="0"/>
          <w:sz w:val="24"/>
          <w:szCs w:val="24"/>
        </w:rPr>
      </w:pPr>
      <w:r>
        <w:rPr>
          <w:rFonts w:asciiTheme="minorEastAsia" w:eastAsiaTheme="minorEastAsia" w:hAnsiTheme="minorEastAsia" w:hint="eastAsia"/>
          <w:color w:val="000000"/>
          <w:sz w:val="24"/>
          <w:szCs w:val="24"/>
        </w:rPr>
        <w:t>以</w:t>
      </w:r>
      <w:r>
        <w:rPr>
          <w:rFonts w:asciiTheme="minorEastAsia" w:eastAsiaTheme="minorEastAsia" w:hAnsiTheme="minorEastAsia" w:hint="eastAsia"/>
          <w:sz w:val="24"/>
          <w:szCs w:val="24"/>
        </w:rPr>
        <w:t>东方财富证券</w:t>
      </w:r>
      <w:r>
        <w:rPr>
          <w:rFonts w:asciiTheme="minorEastAsia" w:eastAsiaTheme="minorEastAsia" w:hAnsiTheme="minorEastAsia" w:cs="Tahoma" w:hint="eastAsia"/>
          <w:color w:val="000000"/>
          <w:sz w:val="24"/>
          <w:szCs w:val="24"/>
        </w:rPr>
        <w:t>的</w:t>
      </w:r>
      <w:r>
        <w:rPr>
          <w:rFonts w:asciiTheme="minorEastAsia" w:eastAsiaTheme="minorEastAsia" w:hAnsiTheme="minorEastAsia" w:hint="eastAsia"/>
          <w:color w:val="000000"/>
          <w:sz w:val="24"/>
          <w:szCs w:val="24"/>
        </w:rPr>
        <w:t>官方公告为准。</w:t>
      </w:r>
    </w:p>
    <w:p w:rsidR="00E256E6" w:rsidRDefault="00025190">
      <w:pPr>
        <w:spacing w:line="360" w:lineRule="auto"/>
        <w:ind w:firstLineChars="196" w:firstLine="47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五</w:t>
      </w:r>
      <w:r>
        <w:rPr>
          <w:rFonts w:asciiTheme="minorEastAsia" w:eastAsiaTheme="minorEastAsia" w:hAnsiTheme="minorEastAsia"/>
          <w:color w:val="000000"/>
          <w:sz w:val="24"/>
          <w:szCs w:val="24"/>
        </w:rPr>
        <w:t xml:space="preserve">、重要提示 </w:t>
      </w:r>
    </w:p>
    <w:p w:rsidR="00E256E6" w:rsidRDefault="00025190">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lastRenderedPageBreak/>
        <w:t>1、本优惠活动仅适用于</w:t>
      </w:r>
      <w:r>
        <w:rPr>
          <w:rFonts w:asciiTheme="minorEastAsia" w:eastAsiaTheme="minorEastAsia" w:hAnsiTheme="minorEastAsia" w:hint="eastAsia"/>
          <w:color w:val="000000"/>
          <w:sz w:val="24"/>
          <w:szCs w:val="24"/>
        </w:rPr>
        <w:t>我司产品在</w:t>
      </w:r>
      <w:r>
        <w:rPr>
          <w:rFonts w:asciiTheme="minorEastAsia" w:eastAsiaTheme="minorEastAsia" w:hAnsiTheme="minorEastAsia" w:hint="eastAsia"/>
          <w:sz w:val="24"/>
          <w:szCs w:val="24"/>
        </w:rPr>
        <w:t>东方财富证券</w:t>
      </w:r>
      <w:r>
        <w:rPr>
          <w:rFonts w:asciiTheme="minorEastAsia" w:eastAsiaTheme="minorEastAsia" w:hAnsiTheme="minorEastAsia"/>
          <w:color w:val="000000"/>
          <w:sz w:val="24"/>
          <w:szCs w:val="24"/>
        </w:rPr>
        <w:t>处于正常申购期的基金产品的前端收费模式的申购手续费</w:t>
      </w:r>
      <w:r>
        <w:rPr>
          <w:rFonts w:asciiTheme="minorEastAsia" w:eastAsiaTheme="minorEastAsia" w:hAnsiTheme="minorEastAsia" w:hint="eastAsia"/>
          <w:color w:val="000000"/>
          <w:sz w:val="24"/>
          <w:szCs w:val="24"/>
        </w:rPr>
        <w:t>及处于基金募集期的基金认购费</w:t>
      </w:r>
      <w:r>
        <w:rPr>
          <w:rFonts w:asciiTheme="minorEastAsia" w:eastAsiaTheme="minorEastAsia" w:hAnsiTheme="minorEastAsia"/>
          <w:color w:val="000000"/>
          <w:sz w:val="24"/>
          <w:szCs w:val="24"/>
        </w:rPr>
        <w:t>。</w:t>
      </w:r>
    </w:p>
    <w:p w:rsidR="00E256E6" w:rsidRDefault="00025190">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w:t>
      </w:r>
      <w:r>
        <w:rPr>
          <w:rFonts w:asciiTheme="minorEastAsia" w:eastAsiaTheme="minorEastAsia" w:hAnsiTheme="minorEastAsia" w:hint="eastAsia"/>
          <w:color w:val="000000"/>
          <w:sz w:val="24"/>
          <w:szCs w:val="24"/>
        </w:rPr>
        <w:t>本优惠活动仅适用于我司产品在</w:t>
      </w:r>
      <w:r>
        <w:rPr>
          <w:rFonts w:asciiTheme="minorEastAsia" w:eastAsiaTheme="minorEastAsia" w:hAnsiTheme="minorEastAsia" w:hint="eastAsia"/>
          <w:sz w:val="24"/>
          <w:szCs w:val="24"/>
        </w:rPr>
        <w:t>东方财富证券</w:t>
      </w:r>
      <w:r>
        <w:rPr>
          <w:rFonts w:asciiTheme="minorEastAsia" w:eastAsiaTheme="minorEastAsia" w:hAnsiTheme="minorEastAsia" w:cs="宋体" w:hint="eastAsia"/>
          <w:color w:val="000000"/>
          <w:kern w:val="0"/>
          <w:sz w:val="24"/>
          <w:szCs w:val="24"/>
        </w:rPr>
        <w:t>认购或</w:t>
      </w:r>
      <w:r>
        <w:rPr>
          <w:rFonts w:asciiTheme="minorEastAsia" w:eastAsiaTheme="minorEastAsia" w:hAnsiTheme="minorEastAsia" w:hint="eastAsia"/>
          <w:color w:val="000000"/>
          <w:sz w:val="24"/>
          <w:szCs w:val="24"/>
        </w:rPr>
        <w:t>申购业务的手续费，不包括基金赎回、转换业务等其他业务的手续费。</w:t>
      </w:r>
    </w:p>
    <w:p w:rsidR="00E256E6" w:rsidRDefault="00025190">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w:t>
      </w:r>
      <w:r>
        <w:rPr>
          <w:rFonts w:asciiTheme="minorEastAsia" w:eastAsiaTheme="minorEastAsia" w:hAnsiTheme="minorEastAsia"/>
          <w:color w:val="000000"/>
          <w:sz w:val="24"/>
          <w:szCs w:val="24"/>
        </w:rPr>
        <w:t>费率优惠活动解释权</w:t>
      </w:r>
      <w:r>
        <w:rPr>
          <w:rFonts w:asciiTheme="minorEastAsia" w:eastAsiaTheme="minorEastAsia" w:hAnsiTheme="minorEastAsia" w:hint="eastAsia"/>
          <w:color w:val="000000"/>
          <w:sz w:val="24"/>
          <w:szCs w:val="24"/>
        </w:rPr>
        <w:t>归</w:t>
      </w:r>
      <w:r>
        <w:rPr>
          <w:rFonts w:asciiTheme="minorEastAsia" w:eastAsiaTheme="minorEastAsia" w:hAnsiTheme="minorEastAsia" w:hint="eastAsia"/>
          <w:sz w:val="24"/>
          <w:szCs w:val="24"/>
        </w:rPr>
        <w:t>东方财富证券</w:t>
      </w:r>
      <w:r>
        <w:rPr>
          <w:rFonts w:asciiTheme="minorEastAsia" w:eastAsiaTheme="minorEastAsia" w:hAnsiTheme="minorEastAsia"/>
          <w:color w:val="000000"/>
          <w:sz w:val="24"/>
          <w:szCs w:val="24"/>
        </w:rPr>
        <w:t>所有，有关优惠活动的具体规定如有变化，敬请投资者留意</w:t>
      </w:r>
      <w:r>
        <w:rPr>
          <w:rFonts w:asciiTheme="minorEastAsia" w:eastAsiaTheme="minorEastAsia" w:hAnsiTheme="minorEastAsia" w:hint="eastAsia"/>
          <w:sz w:val="24"/>
          <w:szCs w:val="24"/>
        </w:rPr>
        <w:t>东方财富证券</w:t>
      </w:r>
      <w:r>
        <w:rPr>
          <w:rFonts w:asciiTheme="minorEastAsia" w:eastAsiaTheme="minorEastAsia" w:hAnsiTheme="minorEastAsia"/>
          <w:color w:val="000000"/>
          <w:sz w:val="24"/>
          <w:szCs w:val="24"/>
        </w:rPr>
        <w:t xml:space="preserve">的有关公告。 </w:t>
      </w:r>
    </w:p>
    <w:p w:rsidR="00E256E6" w:rsidRDefault="0002519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color w:val="000000"/>
          <w:sz w:val="24"/>
          <w:szCs w:val="24"/>
        </w:rPr>
        <w:t>4、</w:t>
      </w:r>
      <w:r>
        <w:rPr>
          <w:rFonts w:asciiTheme="minorEastAsia" w:eastAsiaTheme="minorEastAsia" w:hAnsiTheme="minorEastAsia"/>
          <w:color w:val="000000"/>
          <w:sz w:val="24"/>
          <w:szCs w:val="24"/>
        </w:rPr>
        <w:t>费率优惠活动期间，业务办理的流程以</w:t>
      </w:r>
      <w:r>
        <w:rPr>
          <w:rFonts w:asciiTheme="minorEastAsia" w:eastAsiaTheme="minorEastAsia" w:hAnsiTheme="minorEastAsia" w:hint="eastAsia"/>
          <w:sz w:val="24"/>
          <w:szCs w:val="24"/>
        </w:rPr>
        <w:t>东方财富证券</w:t>
      </w:r>
      <w:r>
        <w:rPr>
          <w:rFonts w:asciiTheme="minorEastAsia" w:eastAsiaTheme="minorEastAsia" w:hAnsiTheme="minorEastAsia"/>
          <w:color w:val="000000"/>
          <w:sz w:val="24"/>
          <w:szCs w:val="24"/>
        </w:rPr>
        <w:t xml:space="preserve">的规定为准。投资者欲了解基金产品的详细情况，请仔细阅读基金的基金合同、招募说明书等法律文件。 </w:t>
      </w:r>
    </w:p>
    <w:p w:rsidR="00E256E6" w:rsidRDefault="00025190">
      <w:pPr>
        <w:widowControl/>
        <w:spacing w:afterLines="50" w:after="156" w:line="360" w:lineRule="auto"/>
        <w:ind w:leftChars="150" w:left="315" w:right="75" w:firstLineChars="50" w:firstLine="120"/>
        <w:rPr>
          <w:rFonts w:asciiTheme="minorEastAsia" w:eastAsiaTheme="minorEastAsia" w:hAnsiTheme="minorEastAsia" w:cs="宋体"/>
          <w:color w:val="333333"/>
          <w:kern w:val="0"/>
          <w:sz w:val="24"/>
          <w:szCs w:val="24"/>
        </w:rPr>
      </w:pPr>
      <w:r>
        <w:rPr>
          <w:rFonts w:asciiTheme="minorEastAsia" w:eastAsiaTheme="minorEastAsia" w:hAnsiTheme="minorEastAsia" w:cs="宋体" w:hint="eastAsia"/>
          <w:color w:val="333333"/>
          <w:kern w:val="0"/>
          <w:sz w:val="24"/>
          <w:szCs w:val="24"/>
        </w:rPr>
        <w:t>六、业务咨询</w:t>
      </w:r>
    </w:p>
    <w:tbl>
      <w:tblPr>
        <w:tblW w:w="9092" w:type="dxa"/>
        <w:jc w:val="center"/>
        <w:tblLayout w:type="fixed"/>
        <w:tblLook w:val="04A0" w:firstRow="1" w:lastRow="0" w:firstColumn="1" w:lastColumn="0" w:noHBand="0" w:noVBand="1"/>
      </w:tblPr>
      <w:tblGrid>
        <w:gridCol w:w="3681"/>
        <w:gridCol w:w="2252"/>
        <w:gridCol w:w="3159"/>
      </w:tblGrid>
      <w:tr w:rsidR="00E256E6">
        <w:trPr>
          <w:trHeight w:val="285"/>
          <w:jc w:val="center"/>
        </w:trPr>
        <w:tc>
          <w:tcPr>
            <w:tcW w:w="3681" w:type="dxa"/>
            <w:tcBorders>
              <w:top w:val="single" w:sz="4" w:space="0" w:color="auto"/>
              <w:left w:val="single" w:sz="4" w:space="0" w:color="auto"/>
              <w:bottom w:val="single" w:sz="4" w:space="0" w:color="auto"/>
              <w:right w:val="single" w:sz="4" w:space="0" w:color="auto"/>
            </w:tcBorders>
            <w:shd w:val="clear" w:color="auto" w:fill="auto"/>
            <w:vAlign w:val="bottom"/>
          </w:tcPr>
          <w:p w:rsidR="00E256E6" w:rsidRDefault="00025190">
            <w:pPr>
              <w:widowControl/>
              <w:spacing w:afterLines="50" w:after="156" w:line="360" w:lineRule="auto"/>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机构名称</w:t>
            </w:r>
          </w:p>
        </w:tc>
        <w:tc>
          <w:tcPr>
            <w:tcW w:w="2252" w:type="dxa"/>
            <w:tcBorders>
              <w:top w:val="single" w:sz="4" w:space="0" w:color="auto"/>
              <w:left w:val="nil"/>
              <w:bottom w:val="single" w:sz="4" w:space="0" w:color="auto"/>
              <w:right w:val="single" w:sz="4" w:space="0" w:color="auto"/>
            </w:tcBorders>
            <w:shd w:val="clear" w:color="auto" w:fill="auto"/>
            <w:vAlign w:val="bottom"/>
          </w:tcPr>
          <w:p w:rsidR="00E256E6" w:rsidRDefault="00025190">
            <w:pPr>
              <w:widowControl/>
              <w:spacing w:afterLines="50" w:after="156" w:line="360" w:lineRule="auto"/>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网址</w:t>
            </w:r>
          </w:p>
        </w:tc>
        <w:tc>
          <w:tcPr>
            <w:tcW w:w="3159" w:type="dxa"/>
            <w:tcBorders>
              <w:top w:val="single" w:sz="4" w:space="0" w:color="auto"/>
              <w:left w:val="nil"/>
              <w:bottom w:val="single" w:sz="4" w:space="0" w:color="auto"/>
              <w:right w:val="single" w:sz="4" w:space="0" w:color="auto"/>
            </w:tcBorders>
            <w:shd w:val="clear" w:color="auto" w:fill="auto"/>
            <w:vAlign w:val="bottom"/>
          </w:tcPr>
          <w:p w:rsidR="00E256E6" w:rsidRDefault="00025190">
            <w:pPr>
              <w:widowControl/>
              <w:spacing w:afterLines="50" w:after="156" w:line="360" w:lineRule="auto"/>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客服热线</w:t>
            </w:r>
          </w:p>
        </w:tc>
      </w:tr>
      <w:tr w:rsidR="00E256E6">
        <w:trPr>
          <w:trHeight w:val="285"/>
          <w:jc w:val="center"/>
        </w:trPr>
        <w:tc>
          <w:tcPr>
            <w:tcW w:w="3681" w:type="dxa"/>
            <w:tcBorders>
              <w:top w:val="nil"/>
              <w:left w:val="single" w:sz="4" w:space="0" w:color="auto"/>
              <w:bottom w:val="single" w:sz="4" w:space="0" w:color="auto"/>
              <w:right w:val="single" w:sz="4" w:space="0" w:color="auto"/>
            </w:tcBorders>
            <w:shd w:val="clear" w:color="auto" w:fill="auto"/>
            <w:vAlign w:val="center"/>
          </w:tcPr>
          <w:p w:rsidR="00E256E6" w:rsidRDefault="00025190">
            <w:pPr>
              <w:widowControl/>
              <w:spacing w:afterLines="50" w:after="156" w:line="360" w:lineRule="auto"/>
              <w:jc w:val="center"/>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西藏东方财富证券股份有限公司</w:t>
            </w:r>
          </w:p>
        </w:tc>
        <w:tc>
          <w:tcPr>
            <w:tcW w:w="2252" w:type="dxa"/>
            <w:tcBorders>
              <w:top w:val="nil"/>
              <w:left w:val="nil"/>
              <w:bottom w:val="single" w:sz="4" w:space="0" w:color="auto"/>
              <w:right w:val="single" w:sz="4" w:space="0" w:color="auto"/>
            </w:tcBorders>
            <w:shd w:val="clear" w:color="auto" w:fill="auto"/>
            <w:vAlign w:val="center"/>
          </w:tcPr>
          <w:p w:rsidR="00E256E6" w:rsidRDefault="00025190">
            <w:pPr>
              <w:widowControl/>
              <w:spacing w:afterLines="50" w:after="156" w:line="360" w:lineRule="auto"/>
              <w:jc w:val="center"/>
              <w:rPr>
                <w:rFonts w:asciiTheme="minorEastAsia" w:eastAsiaTheme="minorEastAsia" w:hAnsiTheme="minorEastAsia"/>
                <w:color w:val="000000" w:themeColor="text1"/>
                <w:kern w:val="0"/>
                <w:sz w:val="24"/>
                <w:szCs w:val="24"/>
              </w:rPr>
            </w:pPr>
            <w:r>
              <w:rPr>
                <w:rFonts w:asciiTheme="minorEastAsia" w:eastAsiaTheme="minorEastAsia" w:hAnsiTheme="minorEastAsia"/>
                <w:sz w:val="24"/>
                <w:szCs w:val="24"/>
              </w:rPr>
              <w:t>www.18.cn</w:t>
            </w:r>
            <w:hyperlink r:id="rId9" w:history="1"/>
          </w:p>
        </w:tc>
        <w:tc>
          <w:tcPr>
            <w:tcW w:w="3159" w:type="dxa"/>
            <w:tcBorders>
              <w:top w:val="nil"/>
              <w:left w:val="nil"/>
              <w:bottom w:val="single" w:sz="4" w:space="0" w:color="auto"/>
              <w:right w:val="single" w:sz="4" w:space="0" w:color="auto"/>
            </w:tcBorders>
            <w:shd w:val="clear" w:color="auto" w:fill="auto"/>
            <w:vAlign w:val="center"/>
          </w:tcPr>
          <w:p w:rsidR="00E256E6" w:rsidRDefault="00025190">
            <w:pPr>
              <w:widowControl/>
              <w:spacing w:afterLines="50" w:after="156" w:line="360" w:lineRule="auto"/>
              <w:jc w:val="center"/>
              <w:rPr>
                <w:rFonts w:asciiTheme="minorEastAsia" w:eastAsiaTheme="minorEastAsia" w:hAnsiTheme="minorEastAsia"/>
                <w:color w:val="000000" w:themeColor="text1"/>
                <w:kern w:val="0"/>
                <w:sz w:val="24"/>
                <w:szCs w:val="24"/>
              </w:rPr>
            </w:pPr>
            <w:r>
              <w:rPr>
                <w:rFonts w:ascii="宋体" w:hAnsi="宋体" w:cs="Calibri"/>
                <w:color w:val="000000" w:themeColor="text1"/>
                <w:kern w:val="0"/>
                <w:sz w:val="24"/>
                <w:szCs w:val="24"/>
              </w:rPr>
              <w:t>95357</w:t>
            </w:r>
          </w:p>
        </w:tc>
      </w:tr>
      <w:tr w:rsidR="00E256E6">
        <w:trPr>
          <w:trHeight w:val="285"/>
          <w:jc w:val="center"/>
        </w:trPr>
        <w:tc>
          <w:tcPr>
            <w:tcW w:w="3681" w:type="dxa"/>
            <w:tcBorders>
              <w:top w:val="nil"/>
              <w:left w:val="single" w:sz="4" w:space="0" w:color="auto"/>
              <w:bottom w:val="single" w:sz="4" w:space="0" w:color="auto"/>
              <w:right w:val="single" w:sz="4" w:space="0" w:color="auto"/>
            </w:tcBorders>
            <w:shd w:val="clear" w:color="auto" w:fill="auto"/>
            <w:vAlign w:val="center"/>
          </w:tcPr>
          <w:p w:rsidR="00E256E6" w:rsidRDefault="00025190">
            <w:pPr>
              <w:widowControl/>
              <w:spacing w:afterLines="50" w:after="156" w:line="360" w:lineRule="auto"/>
              <w:jc w:val="center"/>
              <w:rPr>
                <w:rFonts w:asciiTheme="minorEastAsia" w:eastAsiaTheme="minorEastAsia" w:hAnsiTheme="minorEastAsia" w:cs="宋体"/>
                <w:color w:val="000000" w:themeColor="text1"/>
                <w:kern w:val="0"/>
                <w:sz w:val="24"/>
                <w:szCs w:val="24"/>
              </w:rPr>
            </w:pPr>
            <w:r>
              <w:rPr>
                <w:rFonts w:asciiTheme="minorEastAsia" w:eastAsiaTheme="minorEastAsia" w:hAnsiTheme="minorEastAsia" w:hint="eastAsia"/>
                <w:color w:val="000000" w:themeColor="text1"/>
                <w:kern w:val="0"/>
                <w:sz w:val="24"/>
                <w:szCs w:val="24"/>
              </w:rPr>
              <w:t>信达澳银</w:t>
            </w:r>
            <w:r>
              <w:rPr>
                <w:rFonts w:asciiTheme="minorEastAsia" w:eastAsiaTheme="minorEastAsia" w:hAnsiTheme="minorEastAsia" w:cs="宋体" w:hint="eastAsia"/>
                <w:color w:val="000000" w:themeColor="text1"/>
                <w:kern w:val="0"/>
                <w:sz w:val="24"/>
                <w:szCs w:val="24"/>
              </w:rPr>
              <w:t>基金管理有限公司</w:t>
            </w:r>
          </w:p>
        </w:tc>
        <w:tc>
          <w:tcPr>
            <w:tcW w:w="2252" w:type="dxa"/>
            <w:tcBorders>
              <w:top w:val="nil"/>
              <w:left w:val="nil"/>
              <w:bottom w:val="single" w:sz="4" w:space="0" w:color="auto"/>
              <w:right w:val="single" w:sz="4" w:space="0" w:color="auto"/>
            </w:tcBorders>
            <w:shd w:val="clear" w:color="auto" w:fill="auto"/>
            <w:vAlign w:val="center"/>
          </w:tcPr>
          <w:p w:rsidR="00E256E6" w:rsidRDefault="00025190">
            <w:pPr>
              <w:widowControl/>
              <w:spacing w:afterLines="50" w:after="156" w:line="360" w:lineRule="auto"/>
              <w:jc w:val="center"/>
              <w:rPr>
                <w:rFonts w:asciiTheme="minorEastAsia" w:eastAsiaTheme="minorEastAsia" w:hAnsiTheme="minorEastAsia"/>
                <w:color w:val="000000" w:themeColor="text1"/>
                <w:sz w:val="24"/>
                <w:szCs w:val="24"/>
              </w:rPr>
            </w:pPr>
            <w:r>
              <w:rPr>
                <w:rFonts w:asciiTheme="minorEastAsia" w:eastAsiaTheme="minorEastAsia" w:hAnsiTheme="minorEastAsia" w:cs="宋体"/>
                <w:color w:val="000000" w:themeColor="text1"/>
                <w:kern w:val="0"/>
                <w:sz w:val="24"/>
                <w:szCs w:val="24"/>
              </w:rPr>
              <w:t>www.fscinda.com</w:t>
            </w:r>
          </w:p>
        </w:tc>
        <w:tc>
          <w:tcPr>
            <w:tcW w:w="3159" w:type="dxa"/>
            <w:tcBorders>
              <w:top w:val="nil"/>
              <w:left w:val="nil"/>
              <w:bottom w:val="single" w:sz="4" w:space="0" w:color="auto"/>
              <w:right w:val="single" w:sz="4" w:space="0" w:color="auto"/>
            </w:tcBorders>
            <w:shd w:val="clear" w:color="auto" w:fill="auto"/>
            <w:vAlign w:val="center"/>
          </w:tcPr>
          <w:p w:rsidR="00E256E6" w:rsidRDefault="00025190">
            <w:pPr>
              <w:widowControl/>
              <w:spacing w:afterLines="50" w:after="156" w:line="360" w:lineRule="auto"/>
              <w:jc w:val="center"/>
              <w:rPr>
                <w:rFonts w:asciiTheme="minorEastAsia" w:eastAsiaTheme="minorEastAsia" w:hAnsiTheme="minorEastAsia"/>
                <w:color w:val="000000" w:themeColor="text1"/>
                <w:sz w:val="24"/>
                <w:szCs w:val="24"/>
              </w:rPr>
            </w:pPr>
            <w:r>
              <w:rPr>
                <w:rFonts w:asciiTheme="minorEastAsia" w:eastAsiaTheme="minorEastAsia" w:hAnsiTheme="minorEastAsia" w:cs="宋体"/>
                <w:color w:val="000000" w:themeColor="text1"/>
                <w:kern w:val="0"/>
                <w:sz w:val="24"/>
                <w:szCs w:val="24"/>
              </w:rPr>
              <w:t>4008888118/0755-83160160</w:t>
            </w:r>
          </w:p>
        </w:tc>
      </w:tr>
    </w:tbl>
    <w:p w:rsidR="00E256E6" w:rsidRDefault="00025190">
      <w:pPr>
        <w:spacing w:afterLines="50" w:after="156" w:line="360" w:lineRule="auto"/>
        <w:ind w:firstLineChars="200" w:firstLine="480"/>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七、风险提示</w:t>
      </w:r>
    </w:p>
    <w:p w:rsidR="00E256E6" w:rsidRDefault="00025190">
      <w:pPr>
        <w:widowControl/>
        <w:spacing w:before="75" w:after="75" w:line="360" w:lineRule="auto"/>
        <w:ind w:left="75" w:right="75" w:firstLine="360"/>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本公司承诺以诚实信用、勤勉尽责的原则管理和运用基金资产，但不保证基金一定盈利，也不保证最低收益。投资者投资基金前应认真阅读基金合同、招募说明书，投资与自身风险承受能力相适应的基金。</w:t>
      </w:r>
      <w:r>
        <w:rPr>
          <w:rFonts w:asciiTheme="minorEastAsia" w:eastAsiaTheme="minorEastAsia" w:hAnsiTheme="minorEastAsia" w:hint="eastAsia"/>
          <w:color w:val="000000" w:themeColor="text1"/>
          <w:sz w:val="24"/>
          <w:szCs w:val="24"/>
        </w:rPr>
        <w:t>敬请投资人注意投资风险。</w:t>
      </w:r>
    </w:p>
    <w:p w:rsidR="00E256E6" w:rsidRDefault="00025190">
      <w:pPr>
        <w:widowControl/>
        <w:spacing w:before="75" w:after="75" w:line="360" w:lineRule="auto"/>
        <w:ind w:left="75" w:right="75" w:firstLine="360"/>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特此公告。</w:t>
      </w:r>
    </w:p>
    <w:p w:rsidR="00E256E6" w:rsidRDefault="00E256E6">
      <w:pPr>
        <w:widowControl/>
        <w:spacing w:before="75" w:after="75" w:line="360" w:lineRule="auto"/>
        <w:ind w:left="75" w:right="75" w:firstLine="360"/>
        <w:rPr>
          <w:rFonts w:asciiTheme="minorEastAsia" w:eastAsiaTheme="minorEastAsia" w:hAnsiTheme="minorEastAsia" w:cs="宋体"/>
          <w:color w:val="737373"/>
          <w:kern w:val="0"/>
          <w:sz w:val="24"/>
          <w:szCs w:val="24"/>
        </w:rPr>
      </w:pPr>
      <w:bookmarkStart w:id="2" w:name="_GoBack"/>
      <w:bookmarkEnd w:id="2"/>
    </w:p>
    <w:p w:rsidR="00E256E6" w:rsidRDefault="00025190">
      <w:pPr>
        <w:spacing w:line="360" w:lineRule="auto"/>
        <w:jc w:val="righ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信达澳银基金管理有限公司</w:t>
      </w:r>
    </w:p>
    <w:p w:rsidR="00E256E6" w:rsidRDefault="00025190">
      <w:pPr>
        <w:wordWrap w:val="0"/>
        <w:spacing w:line="360" w:lineRule="auto"/>
        <w:jc w:val="right"/>
        <w:rPr>
          <w:rFonts w:asciiTheme="minorEastAsia" w:eastAsiaTheme="minorEastAsia" w:hAnsiTheme="minorEastAsia"/>
          <w:color w:val="000000" w:themeColor="text1"/>
          <w:sz w:val="24"/>
          <w:szCs w:val="24"/>
        </w:rPr>
      </w:pPr>
      <w:r>
        <w:rPr>
          <w:rFonts w:asciiTheme="minorEastAsia" w:eastAsiaTheme="minorEastAsia" w:hAnsiTheme="minorEastAsia" w:cs="宋体" w:hint="eastAsia"/>
          <w:color w:val="000000" w:themeColor="text1"/>
          <w:kern w:val="0"/>
          <w:sz w:val="24"/>
          <w:szCs w:val="24"/>
        </w:rPr>
        <w:t>二〇一八年八月</w:t>
      </w:r>
      <w:r w:rsidR="004853A0">
        <w:rPr>
          <w:rFonts w:asciiTheme="minorEastAsia" w:eastAsiaTheme="minorEastAsia" w:hAnsiTheme="minorEastAsia" w:cs="宋体" w:hint="eastAsia"/>
          <w:color w:val="000000" w:themeColor="text1"/>
          <w:kern w:val="0"/>
          <w:sz w:val="24"/>
          <w:szCs w:val="24"/>
        </w:rPr>
        <w:t>三</w:t>
      </w:r>
      <w:r>
        <w:rPr>
          <w:rFonts w:asciiTheme="minorEastAsia" w:eastAsiaTheme="minorEastAsia" w:hAnsiTheme="minorEastAsia" w:cs="宋体" w:hint="eastAsia"/>
          <w:color w:val="000000" w:themeColor="text1"/>
          <w:kern w:val="0"/>
          <w:sz w:val="24"/>
          <w:szCs w:val="24"/>
        </w:rPr>
        <w:t>十</w:t>
      </w:r>
      <w:r w:rsidR="004853A0">
        <w:rPr>
          <w:rFonts w:asciiTheme="minorEastAsia" w:eastAsiaTheme="minorEastAsia" w:hAnsiTheme="minorEastAsia" w:cs="宋体" w:hint="eastAsia"/>
          <w:color w:val="000000" w:themeColor="text1"/>
          <w:kern w:val="0"/>
          <w:sz w:val="24"/>
          <w:szCs w:val="24"/>
        </w:rPr>
        <w:t>一</w:t>
      </w:r>
      <w:r>
        <w:rPr>
          <w:rFonts w:asciiTheme="minorEastAsia" w:eastAsiaTheme="minorEastAsia" w:hAnsiTheme="minorEastAsia" w:cs="宋体" w:hint="eastAsia"/>
          <w:color w:val="000000" w:themeColor="text1"/>
          <w:kern w:val="0"/>
          <w:sz w:val="24"/>
          <w:szCs w:val="24"/>
        </w:rPr>
        <w:t>日</w:t>
      </w:r>
    </w:p>
    <w:p w:rsidR="00E256E6" w:rsidRDefault="00E256E6">
      <w:pPr>
        <w:wordWrap w:val="0"/>
        <w:spacing w:line="360" w:lineRule="auto"/>
        <w:jc w:val="right"/>
        <w:rPr>
          <w:rFonts w:asciiTheme="minorEastAsia" w:eastAsiaTheme="minorEastAsia" w:hAnsiTheme="minorEastAsia"/>
          <w:sz w:val="24"/>
          <w:szCs w:val="24"/>
        </w:rPr>
      </w:pPr>
    </w:p>
    <w:sectPr w:rsidR="00E256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700" w:rsidRDefault="00C25700" w:rsidP="00931486">
      <w:r>
        <w:separator/>
      </w:r>
    </w:p>
  </w:endnote>
  <w:endnote w:type="continuationSeparator" w:id="0">
    <w:p w:rsidR="00C25700" w:rsidRDefault="00C25700" w:rsidP="00931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700" w:rsidRDefault="00C25700" w:rsidP="00931486">
      <w:r>
        <w:separator/>
      </w:r>
    </w:p>
  </w:footnote>
  <w:footnote w:type="continuationSeparator" w:id="0">
    <w:p w:rsidR="00C25700" w:rsidRDefault="00C25700" w:rsidP="009314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B8140C"/>
    <w:multiLevelType w:val="multilevel"/>
    <w:tmpl w:val="7FB8140C"/>
    <w:lvl w:ilvl="0">
      <w:start w:val="1"/>
      <w:numFmt w:val="japaneseCounting"/>
      <w:lvlText w:val="%1、"/>
      <w:lvlJc w:val="left"/>
      <w:pPr>
        <w:ind w:left="1035" w:hanging="600"/>
      </w:pPr>
      <w:rPr>
        <w:rFonts w:cs="Times New Roman" w:hint="default"/>
      </w:rPr>
    </w:lvl>
    <w:lvl w:ilvl="1">
      <w:start w:val="1"/>
      <w:numFmt w:val="lowerLetter"/>
      <w:lvlText w:val="%2)"/>
      <w:lvlJc w:val="left"/>
      <w:pPr>
        <w:ind w:left="1275" w:hanging="420"/>
      </w:pPr>
      <w:rPr>
        <w:rFonts w:cs="Times New Roman"/>
      </w:rPr>
    </w:lvl>
    <w:lvl w:ilvl="2">
      <w:start w:val="1"/>
      <w:numFmt w:val="lowerRoman"/>
      <w:lvlText w:val="%3."/>
      <w:lvlJc w:val="right"/>
      <w:pPr>
        <w:ind w:left="1695" w:hanging="420"/>
      </w:pPr>
      <w:rPr>
        <w:rFonts w:cs="Times New Roman"/>
      </w:rPr>
    </w:lvl>
    <w:lvl w:ilvl="3">
      <w:start w:val="1"/>
      <w:numFmt w:val="decimal"/>
      <w:lvlText w:val="%4."/>
      <w:lvlJc w:val="left"/>
      <w:pPr>
        <w:ind w:left="2115" w:hanging="420"/>
      </w:pPr>
      <w:rPr>
        <w:rFonts w:cs="Times New Roman"/>
      </w:rPr>
    </w:lvl>
    <w:lvl w:ilvl="4">
      <w:start w:val="1"/>
      <w:numFmt w:val="lowerLetter"/>
      <w:lvlText w:val="%5)"/>
      <w:lvlJc w:val="left"/>
      <w:pPr>
        <w:ind w:left="2535" w:hanging="420"/>
      </w:pPr>
      <w:rPr>
        <w:rFonts w:cs="Times New Roman"/>
      </w:rPr>
    </w:lvl>
    <w:lvl w:ilvl="5">
      <w:start w:val="1"/>
      <w:numFmt w:val="lowerRoman"/>
      <w:lvlText w:val="%6."/>
      <w:lvlJc w:val="right"/>
      <w:pPr>
        <w:ind w:left="2955" w:hanging="420"/>
      </w:pPr>
      <w:rPr>
        <w:rFonts w:cs="Times New Roman"/>
      </w:rPr>
    </w:lvl>
    <w:lvl w:ilvl="6">
      <w:start w:val="1"/>
      <w:numFmt w:val="decimal"/>
      <w:lvlText w:val="%7."/>
      <w:lvlJc w:val="left"/>
      <w:pPr>
        <w:ind w:left="3375" w:hanging="420"/>
      </w:pPr>
      <w:rPr>
        <w:rFonts w:cs="Times New Roman"/>
      </w:rPr>
    </w:lvl>
    <w:lvl w:ilvl="7">
      <w:start w:val="1"/>
      <w:numFmt w:val="lowerLetter"/>
      <w:lvlText w:val="%8)"/>
      <w:lvlJc w:val="left"/>
      <w:pPr>
        <w:ind w:left="3795" w:hanging="420"/>
      </w:pPr>
      <w:rPr>
        <w:rFonts w:cs="Times New Roman"/>
      </w:rPr>
    </w:lvl>
    <w:lvl w:ilvl="8">
      <w:start w:val="1"/>
      <w:numFmt w:val="lowerRoman"/>
      <w:lvlText w:val="%9."/>
      <w:lvlJc w:val="right"/>
      <w:pPr>
        <w:ind w:left="421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473"/>
    <w:rsid w:val="00002352"/>
    <w:rsid w:val="000046C5"/>
    <w:rsid w:val="00010576"/>
    <w:rsid w:val="00012D39"/>
    <w:rsid w:val="00025190"/>
    <w:rsid w:val="00025882"/>
    <w:rsid w:val="00033E4E"/>
    <w:rsid w:val="00050D05"/>
    <w:rsid w:val="00051374"/>
    <w:rsid w:val="000545D2"/>
    <w:rsid w:val="00060188"/>
    <w:rsid w:val="00060574"/>
    <w:rsid w:val="000646F6"/>
    <w:rsid w:val="00071F0A"/>
    <w:rsid w:val="00080AC5"/>
    <w:rsid w:val="000814CE"/>
    <w:rsid w:val="00081725"/>
    <w:rsid w:val="00085DBA"/>
    <w:rsid w:val="00086636"/>
    <w:rsid w:val="00086AFE"/>
    <w:rsid w:val="000A0B1E"/>
    <w:rsid w:val="000B32EF"/>
    <w:rsid w:val="000B4110"/>
    <w:rsid w:val="000B5816"/>
    <w:rsid w:val="000C7979"/>
    <w:rsid w:val="000D23CC"/>
    <w:rsid w:val="000E1926"/>
    <w:rsid w:val="000E5B46"/>
    <w:rsid w:val="000E60B3"/>
    <w:rsid w:val="00100C55"/>
    <w:rsid w:val="00102838"/>
    <w:rsid w:val="0010317E"/>
    <w:rsid w:val="00105E93"/>
    <w:rsid w:val="00115FD4"/>
    <w:rsid w:val="00117715"/>
    <w:rsid w:val="00124768"/>
    <w:rsid w:val="00126EAC"/>
    <w:rsid w:val="00137A25"/>
    <w:rsid w:val="00137E5A"/>
    <w:rsid w:val="00141F22"/>
    <w:rsid w:val="00144645"/>
    <w:rsid w:val="00146791"/>
    <w:rsid w:val="00151B3C"/>
    <w:rsid w:val="00163B72"/>
    <w:rsid w:val="00182E31"/>
    <w:rsid w:val="001861EF"/>
    <w:rsid w:val="00187048"/>
    <w:rsid w:val="00192625"/>
    <w:rsid w:val="00192E34"/>
    <w:rsid w:val="00196D33"/>
    <w:rsid w:val="001A0EE4"/>
    <w:rsid w:val="001C23BE"/>
    <w:rsid w:val="001E2312"/>
    <w:rsid w:val="001E79C0"/>
    <w:rsid w:val="0020516B"/>
    <w:rsid w:val="0021022D"/>
    <w:rsid w:val="00211AF1"/>
    <w:rsid w:val="0021626D"/>
    <w:rsid w:val="002167D7"/>
    <w:rsid w:val="00223932"/>
    <w:rsid w:val="00230FBF"/>
    <w:rsid w:val="002346E6"/>
    <w:rsid w:val="00255E7E"/>
    <w:rsid w:val="00257AF1"/>
    <w:rsid w:val="00257BB1"/>
    <w:rsid w:val="002646C3"/>
    <w:rsid w:val="00266178"/>
    <w:rsid w:val="002A388E"/>
    <w:rsid w:val="002A7048"/>
    <w:rsid w:val="002B46C2"/>
    <w:rsid w:val="002B6D24"/>
    <w:rsid w:val="002C580F"/>
    <w:rsid w:val="002C5B20"/>
    <w:rsid w:val="002C6D70"/>
    <w:rsid w:val="002D24C7"/>
    <w:rsid w:val="002D6F39"/>
    <w:rsid w:val="002F4619"/>
    <w:rsid w:val="002F4689"/>
    <w:rsid w:val="0030086E"/>
    <w:rsid w:val="00310C12"/>
    <w:rsid w:val="00313E29"/>
    <w:rsid w:val="0031751C"/>
    <w:rsid w:val="003233A5"/>
    <w:rsid w:val="00323E61"/>
    <w:rsid w:val="00325B6A"/>
    <w:rsid w:val="00325F8C"/>
    <w:rsid w:val="003329B3"/>
    <w:rsid w:val="003405B1"/>
    <w:rsid w:val="00341C0A"/>
    <w:rsid w:val="00354D83"/>
    <w:rsid w:val="00357E41"/>
    <w:rsid w:val="00371DF3"/>
    <w:rsid w:val="00377DE3"/>
    <w:rsid w:val="00386D41"/>
    <w:rsid w:val="003B3F3C"/>
    <w:rsid w:val="003C26A3"/>
    <w:rsid w:val="003C7716"/>
    <w:rsid w:val="003D3629"/>
    <w:rsid w:val="003E7F7C"/>
    <w:rsid w:val="004021E4"/>
    <w:rsid w:val="00410360"/>
    <w:rsid w:val="00413C90"/>
    <w:rsid w:val="00420E38"/>
    <w:rsid w:val="004277FC"/>
    <w:rsid w:val="004459BF"/>
    <w:rsid w:val="0044620B"/>
    <w:rsid w:val="00453A89"/>
    <w:rsid w:val="00457053"/>
    <w:rsid w:val="00457EC0"/>
    <w:rsid w:val="00460B04"/>
    <w:rsid w:val="00461A62"/>
    <w:rsid w:val="00464C0E"/>
    <w:rsid w:val="00474311"/>
    <w:rsid w:val="00480F94"/>
    <w:rsid w:val="004853A0"/>
    <w:rsid w:val="00487BF0"/>
    <w:rsid w:val="004909C9"/>
    <w:rsid w:val="00492005"/>
    <w:rsid w:val="00494F58"/>
    <w:rsid w:val="004A1F26"/>
    <w:rsid w:val="004A3954"/>
    <w:rsid w:val="004C1C5C"/>
    <w:rsid w:val="004D1DFC"/>
    <w:rsid w:val="004D3246"/>
    <w:rsid w:val="004D397B"/>
    <w:rsid w:val="004D42E1"/>
    <w:rsid w:val="004D51B5"/>
    <w:rsid w:val="004E1FAE"/>
    <w:rsid w:val="004E2772"/>
    <w:rsid w:val="004F608A"/>
    <w:rsid w:val="004F73C7"/>
    <w:rsid w:val="005122E0"/>
    <w:rsid w:val="0051742F"/>
    <w:rsid w:val="0052514E"/>
    <w:rsid w:val="00525734"/>
    <w:rsid w:val="005331B4"/>
    <w:rsid w:val="005364FA"/>
    <w:rsid w:val="00536816"/>
    <w:rsid w:val="00550451"/>
    <w:rsid w:val="005664B5"/>
    <w:rsid w:val="005715DD"/>
    <w:rsid w:val="00575D19"/>
    <w:rsid w:val="00587173"/>
    <w:rsid w:val="00592551"/>
    <w:rsid w:val="005A7447"/>
    <w:rsid w:val="005B111C"/>
    <w:rsid w:val="005D31BD"/>
    <w:rsid w:val="005D73A8"/>
    <w:rsid w:val="005F3E00"/>
    <w:rsid w:val="005F4473"/>
    <w:rsid w:val="00605940"/>
    <w:rsid w:val="00612709"/>
    <w:rsid w:val="00612A08"/>
    <w:rsid w:val="00612C72"/>
    <w:rsid w:val="0061793E"/>
    <w:rsid w:val="00620313"/>
    <w:rsid w:val="006244B7"/>
    <w:rsid w:val="00636E64"/>
    <w:rsid w:val="00645C11"/>
    <w:rsid w:val="00646C8C"/>
    <w:rsid w:val="00651ADB"/>
    <w:rsid w:val="00673AE6"/>
    <w:rsid w:val="00686ED1"/>
    <w:rsid w:val="006923A4"/>
    <w:rsid w:val="00696EC6"/>
    <w:rsid w:val="006C1158"/>
    <w:rsid w:val="006C3612"/>
    <w:rsid w:val="006C41FE"/>
    <w:rsid w:val="006E0E86"/>
    <w:rsid w:val="006E2DE8"/>
    <w:rsid w:val="006E3B0F"/>
    <w:rsid w:val="006E5C43"/>
    <w:rsid w:val="006E6A72"/>
    <w:rsid w:val="006E71BD"/>
    <w:rsid w:val="006F6583"/>
    <w:rsid w:val="00704CE6"/>
    <w:rsid w:val="007051F1"/>
    <w:rsid w:val="007155E5"/>
    <w:rsid w:val="00715FF6"/>
    <w:rsid w:val="0072118B"/>
    <w:rsid w:val="00724EA0"/>
    <w:rsid w:val="007333C9"/>
    <w:rsid w:val="0074158B"/>
    <w:rsid w:val="00754B8F"/>
    <w:rsid w:val="00761532"/>
    <w:rsid w:val="00777730"/>
    <w:rsid w:val="00785226"/>
    <w:rsid w:val="00790840"/>
    <w:rsid w:val="007916F4"/>
    <w:rsid w:val="007968B5"/>
    <w:rsid w:val="007A1F48"/>
    <w:rsid w:val="007A6672"/>
    <w:rsid w:val="007A66B0"/>
    <w:rsid w:val="007A6CCD"/>
    <w:rsid w:val="007A7707"/>
    <w:rsid w:val="007A7AC0"/>
    <w:rsid w:val="007A7DA2"/>
    <w:rsid w:val="007B1406"/>
    <w:rsid w:val="007B4D14"/>
    <w:rsid w:val="007B57C1"/>
    <w:rsid w:val="007B67D7"/>
    <w:rsid w:val="007B7782"/>
    <w:rsid w:val="007C0451"/>
    <w:rsid w:val="007D023E"/>
    <w:rsid w:val="007D230E"/>
    <w:rsid w:val="007E5AD9"/>
    <w:rsid w:val="00811A8C"/>
    <w:rsid w:val="00812A9A"/>
    <w:rsid w:val="00815950"/>
    <w:rsid w:val="008274C5"/>
    <w:rsid w:val="00827548"/>
    <w:rsid w:val="008301E8"/>
    <w:rsid w:val="00830550"/>
    <w:rsid w:val="00835111"/>
    <w:rsid w:val="00837FD7"/>
    <w:rsid w:val="0084161F"/>
    <w:rsid w:val="00862AF2"/>
    <w:rsid w:val="0088380E"/>
    <w:rsid w:val="00894DE3"/>
    <w:rsid w:val="008A6C21"/>
    <w:rsid w:val="008B0C2A"/>
    <w:rsid w:val="008C2DFB"/>
    <w:rsid w:val="008D1536"/>
    <w:rsid w:val="008D2911"/>
    <w:rsid w:val="008D4C0A"/>
    <w:rsid w:val="008D4C1D"/>
    <w:rsid w:val="008E2234"/>
    <w:rsid w:val="008E6374"/>
    <w:rsid w:val="00900228"/>
    <w:rsid w:val="009124BA"/>
    <w:rsid w:val="00927E6E"/>
    <w:rsid w:val="00931486"/>
    <w:rsid w:val="0093571D"/>
    <w:rsid w:val="00945AAE"/>
    <w:rsid w:val="00961520"/>
    <w:rsid w:val="00961A12"/>
    <w:rsid w:val="009639A5"/>
    <w:rsid w:val="00966116"/>
    <w:rsid w:val="00974A54"/>
    <w:rsid w:val="009861C2"/>
    <w:rsid w:val="009911ED"/>
    <w:rsid w:val="00993F1E"/>
    <w:rsid w:val="00994A5A"/>
    <w:rsid w:val="009957BE"/>
    <w:rsid w:val="009D01B3"/>
    <w:rsid w:val="009D2DA1"/>
    <w:rsid w:val="009F229E"/>
    <w:rsid w:val="009F6C76"/>
    <w:rsid w:val="00A0176C"/>
    <w:rsid w:val="00A0267E"/>
    <w:rsid w:val="00A02DD2"/>
    <w:rsid w:val="00A0572C"/>
    <w:rsid w:val="00A16C70"/>
    <w:rsid w:val="00A2051F"/>
    <w:rsid w:val="00A24D6C"/>
    <w:rsid w:val="00A25C64"/>
    <w:rsid w:val="00A32D04"/>
    <w:rsid w:val="00A32F32"/>
    <w:rsid w:val="00A41B20"/>
    <w:rsid w:val="00A44E35"/>
    <w:rsid w:val="00A620C4"/>
    <w:rsid w:val="00A64ADB"/>
    <w:rsid w:val="00A66E98"/>
    <w:rsid w:val="00A67620"/>
    <w:rsid w:val="00A74946"/>
    <w:rsid w:val="00A81D69"/>
    <w:rsid w:val="00A8413C"/>
    <w:rsid w:val="00A96506"/>
    <w:rsid w:val="00A970F8"/>
    <w:rsid w:val="00AA3571"/>
    <w:rsid w:val="00AA6812"/>
    <w:rsid w:val="00AA77C6"/>
    <w:rsid w:val="00AA7C6E"/>
    <w:rsid w:val="00AB2070"/>
    <w:rsid w:val="00AB4C3C"/>
    <w:rsid w:val="00AC36A3"/>
    <w:rsid w:val="00AD2C7C"/>
    <w:rsid w:val="00AD7AAD"/>
    <w:rsid w:val="00AE2245"/>
    <w:rsid w:val="00AE2268"/>
    <w:rsid w:val="00AE3A56"/>
    <w:rsid w:val="00AE67E8"/>
    <w:rsid w:val="00AF2985"/>
    <w:rsid w:val="00AF71EE"/>
    <w:rsid w:val="00B00B3A"/>
    <w:rsid w:val="00B0756F"/>
    <w:rsid w:val="00B079B9"/>
    <w:rsid w:val="00B07EB5"/>
    <w:rsid w:val="00B1398F"/>
    <w:rsid w:val="00B311B4"/>
    <w:rsid w:val="00B31CD7"/>
    <w:rsid w:val="00B32F27"/>
    <w:rsid w:val="00B36E9E"/>
    <w:rsid w:val="00B37257"/>
    <w:rsid w:val="00B4288F"/>
    <w:rsid w:val="00B53D6F"/>
    <w:rsid w:val="00B55CEC"/>
    <w:rsid w:val="00B6761E"/>
    <w:rsid w:val="00B70CF5"/>
    <w:rsid w:val="00B7714C"/>
    <w:rsid w:val="00B82109"/>
    <w:rsid w:val="00B83604"/>
    <w:rsid w:val="00B84678"/>
    <w:rsid w:val="00B8769A"/>
    <w:rsid w:val="00BC065C"/>
    <w:rsid w:val="00BC1411"/>
    <w:rsid w:val="00BC4044"/>
    <w:rsid w:val="00BC5339"/>
    <w:rsid w:val="00BC53CB"/>
    <w:rsid w:val="00BC54C8"/>
    <w:rsid w:val="00BD1DE9"/>
    <w:rsid w:val="00BF1A84"/>
    <w:rsid w:val="00C04B14"/>
    <w:rsid w:val="00C11BAE"/>
    <w:rsid w:val="00C12F09"/>
    <w:rsid w:val="00C21011"/>
    <w:rsid w:val="00C24A80"/>
    <w:rsid w:val="00C25700"/>
    <w:rsid w:val="00C25C5F"/>
    <w:rsid w:val="00C3238B"/>
    <w:rsid w:val="00C35940"/>
    <w:rsid w:val="00C37DEC"/>
    <w:rsid w:val="00C4327D"/>
    <w:rsid w:val="00C462C1"/>
    <w:rsid w:val="00C60C31"/>
    <w:rsid w:val="00C725BD"/>
    <w:rsid w:val="00C72E34"/>
    <w:rsid w:val="00C771CC"/>
    <w:rsid w:val="00C926BB"/>
    <w:rsid w:val="00C971EE"/>
    <w:rsid w:val="00CA3798"/>
    <w:rsid w:val="00CD0942"/>
    <w:rsid w:val="00CD6383"/>
    <w:rsid w:val="00CE69CF"/>
    <w:rsid w:val="00CF04CD"/>
    <w:rsid w:val="00CF1CB7"/>
    <w:rsid w:val="00CF2F85"/>
    <w:rsid w:val="00CF5E11"/>
    <w:rsid w:val="00D049C7"/>
    <w:rsid w:val="00D07282"/>
    <w:rsid w:val="00D20849"/>
    <w:rsid w:val="00D47C22"/>
    <w:rsid w:val="00D63B3B"/>
    <w:rsid w:val="00D64DED"/>
    <w:rsid w:val="00D75490"/>
    <w:rsid w:val="00D9193D"/>
    <w:rsid w:val="00D9239B"/>
    <w:rsid w:val="00D93E07"/>
    <w:rsid w:val="00DA6A65"/>
    <w:rsid w:val="00DB7267"/>
    <w:rsid w:val="00DC1324"/>
    <w:rsid w:val="00DC1AAF"/>
    <w:rsid w:val="00DC2D72"/>
    <w:rsid w:val="00DC48A8"/>
    <w:rsid w:val="00DC5AA9"/>
    <w:rsid w:val="00DD1489"/>
    <w:rsid w:val="00DD2018"/>
    <w:rsid w:val="00DD442B"/>
    <w:rsid w:val="00DD5E02"/>
    <w:rsid w:val="00DE0212"/>
    <w:rsid w:val="00DE7381"/>
    <w:rsid w:val="00DF24A1"/>
    <w:rsid w:val="00DF4309"/>
    <w:rsid w:val="00DF5671"/>
    <w:rsid w:val="00E10350"/>
    <w:rsid w:val="00E12AF0"/>
    <w:rsid w:val="00E22932"/>
    <w:rsid w:val="00E256E6"/>
    <w:rsid w:val="00E30E2D"/>
    <w:rsid w:val="00E33830"/>
    <w:rsid w:val="00E34CB8"/>
    <w:rsid w:val="00E351A5"/>
    <w:rsid w:val="00E4313B"/>
    <w:rsid w:val="00E446D4"/>
    <w:rsid w:val="00E45E29"/>
    <w:rsid w:val="00E46F18"/>
    <w:rsid w:val="00E61C55"/>
    <w:rsid w:val="00E61C80"/>
    <w:rsid w:val="00E6580C"/>
    <w:rsid w:val="00E74363"/>
    <w:rsid w:val="00E76945"/>
    <w:rsid w:val="00E77226"/>
    <w:rsid w:val="00E777A1"/>
    <w:rsid w:val="00E81ACE"/>
    <w:rsid w:val="00E96DB9"/>
    <w:rsid w:val="00EA2644"/>
    <w:rsid w:val="00EA5ED5"/>
    <w:rsid w:val="00EA6733"/>
    <w:rsid w:val="00EB63A4"/>
    <w:rsid w:val="00EB78FA"/>
    <w:rsid w:val="00EC5C78"/>
    <w:rsid w:val="00EC7CD1"/>
    <w:rsid w:val="00ED2C6F"/>
    <w:rsid w:val="00ED5856"/>
    <w:rsid w:val="00EE0442"/>
    <w:rsid w:val="00EE740B"/>
    <w:rsid w:val="00EF2167"/>
    <w:rsid w:val="00F01AF0"/>
    <w:rsid w:val="00F04668"/>
    <w:rsid w:val="00F17346"/>
    <w:rsid w:val="00F20FB5"/>
    <w:rsid w:val="00F2629D"/>
    <w:rsid w:val="00F41996"/>
    <w:rsid w:val="00F42357"/>
    <w:rsid w:val="00F44EAE"/>
    <w:rsid w:val="00F53188"/>
    <w:rsid w:val="00F5712E"/>
    <w:rsid w:val="00F57FAE"/>
    <w:rsid w:val="00F603A6"/>
    <w:rsid w:val="00F63382"/>
    <w:rsid w:val="00F83DAE"/>
    <w:rsid w:val="00F94AA6"/>
    <w:rsid w:val="00FA0A90"/>
    <w:rsid w:val="00FA2AF3"/>
    <w:rsid w:val="00FA59DE"/>
    <w:rsid w:val="00FA7141"/>
    <w:rsid w:val="00FB339D"/>
    <w:rsid w:val="00FC01B3"/>
    <w:rsid w:val="00FC023D"/>
    <w:rsid w:val="00FC2753"/>
    <w:rsid w:val="00FC31D9"/>
    <w:rsid w:val="00FD661E"/>
    <w:rsid w:val="00FE0DDB"/>
    <w:rsid w:val="00FE3A75"/>
    <w:rsid w:val="00FF1711"/>
    <w:rsid w:val="00FF353E"/>
    <w:rsid w:val="00FF7490"/>
    <w:rsid w:val="63CF63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EFB57066-4365-4C21-B643-035CCDC1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qFormat="1"/>
    <w:lsdException w:name="Emphasis" w:locked="1"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6"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pPr>
      <w:jc w:val="left"/>
    </w:pPr>
  </w:style>
  <w:style w:type="paragraph" w:styleId="a5">
    <w:name w:val="Plain Text"/>
    <w:basedOn w:val="a"/>
    <w:link w:val="Char1"/>
    <w:qFormat/>
    <w:pPr>
      <w:jc w:val="left"/>
    </w:pPr>
    <w:rPr>
      <w:rFonts w:hAnsi="Courier New"/>
      <w:kern w:val="0"/>
      <w:szCs w:val="21"/>
    </w:rPr>
  </w:style>
  <w:style w:type="paragraph" w:styleId="a6">
    <w:name w:val="Balloon Text"/>
    <w:basedOn w:val="a"/>
    <w:link w:val="Char2"/>
    <w:semiHidden/>
    <w:qFormat/>
    <w:rPr>
      <w:kern w:val="0"/>
      <w:sz w:val="18"/>
      <w:szCs w:val="18"/>
    </w:rPr>
  </w:style>
  <w:style w:type="paragraph" w:styleId="a7">
    <w:name w:val="footer"/>
    <w:basedOn w:val="a"/>
    <w:link w:val="Char3"/>
    <w:pPr>
      <w:tabs>
        <w:tab w:val="center" w:pos="4153"/>
        <w:tab w:val="right" w:pos="8306"/>
      </w:tabs>
      <w:snapToGrid w:val="0"/>
      <w:jc w:val="left"/>
    </w:pPr>
    <w:rPr>
      <w:kern w:val="0"/>
      <w:sz w:val="18"/>
      <w:szCs w:val="18"/>
    </w:rPr>
  </w:style>
  <w:style w:type="paragraph" w:styleId="a8">
    <w:name w:val="header"/>
    <w:basedOn w:val="a"/>
    <w:link w:val="Char4"/>
    <w:pPr>
      <w:pBdr>
        <w:bottom w:val="single" w:sz="6" w:space="1" w:color="auto"/>
      </w:pBdr>
      <w:tabs>
        <w:tab w:val="center" w:pos="4153"/>
        <w:tab w:val="right" w:pos="8306"/>
      </w:tabs>
      <w:snapToGrid w:val="0"/>
      <w:jc w:val="center"/>
    </w:pPr>
    <w:rPr>
      <w:kern w:val="0"/>
      <w:sz w:val="18"/>
      <w:szCs w:val="18"/>
    </w:rPr>
  </w:style>
  <w:style w:type="paragraph" w:styleId="a9">
    <w:name w:val="Normal (Web)"/>
    <w:basedOn w:val="a"/>
    <w:uiPriority w:val="99"/>
    <w:qFormat/>
    <w:pPr>
      <w:widowControl/>
      <w:spacing w:before="75" w:after="75" w:line="330" w:lineRule="atLeast"/>
      <w:ind w:left="75" w:right="75" w:firstLine="360"/>
      <w:jc w:val="left"/>
    </w:pPr>
    <w:rPr>
      <w:rFonts w:ascii="宋体" w:hAnsi="宋体" w:cs="宋体"/>
      <w:kern w:val="0"/>
      <w:sz w:val="18"/>
      <w:szCs w:val="18"/>
    </w:rPr>
  </w:style>
  <w:style w:type="character" w:styleId="aa">
    <w:name w:val="Hyperlink"/>
    <w:qFormat/>
    <w:rPr>
      <w:rFonts w:cs="Times New Roman"/>
      <w:color w:val="484848"/>
      <w:u w:val="none"/>
    </w:rPr>
  </w:style>
  <w:style w:type="character" w:styleId="ab">
    <w:name w:val="annotation reference"/>
    <w:rPr>
      <w:sz w:val="21"/>
      <w:szCs w:val="21"/>
    </w:rPr>
  </w:style>
  <w:style w:type="character" w:customStyle="1" w:styleId="2Char">
    <w:name w:val="标题 2 Char"/>
    <w:link w:val="2"/>
    <w:qFormat/>
    <w:locked/>
    <w:rPr>
      <w:rFonts w:ascii="Cambria" w:eastAsia="宋体" w:hAnsi="Cambria" w:cs="Times New Roman"/>
      <w:b/>
      <w:bCs/>
      <w:sz w:val="32"/>
      <w:szCs w:val="32"/>
    </w:rPr>
  </w:style>
  <w:style w:type="character" w:customStyle="1" w:styleId="Char1">
    <w:name w:val="纯文本 Char"/>
    <w:link w:val="a5"/>
    <w:qFormat/>
    <w:locked/>
    <w:rPr>
      <w:rFonts w:ascii="Calibri" w:eastAsia="宋体" w:hAnsi="Courier New" w:cs="Courier New"/>
      <w:sz w:val="21"/>
      <w:szCs w:val="21"/>
    </w:rPr>
  </w:style>
  <w:style w:type="character" w:customStyle="1" w:styleId="Char2">
    <w:name w:val="批注框文本 Char"/>
    <w:link w:val="a6"/>
    <w:semiHidden/>
    <w:qFormat/>
    <w:locked/>
    <w:rPr>
      <w:rFonts w:cs="Times New Roman"/>
      <w:sz w:val="18"/>
      <w:szCs w:val="18"/>
    </w:rPr>
  </w:style>
  <w:style w:type="character" w:customStyle="1" w:styleId="Char4">
    <w:name w:val="页眉 Char"/>
    <w:link w:val="a8"/>
    <w:locked/>
    <w:rPr>
      <w:rFonts w:cs="Times New Roman"/>
      <w:sz w:val="18"/>
      <w:szCs w:val="18"/>
    </w:rPr>
  </w:style>
  <w:style w:type="character" w:customStyle="1" w:styleId="Char3">
    <w:name w:val="页脚 Char"/>
    <w:link w:val="a7"/>
    <w:locked/>
    <w:rPr>
      <w:rFonts w:cs="Times New Roman"/>
      <w:sz w:val="18"/>
      <w:szCs w:val="18"/>
    </w:rPr>
  </w:style>
  <w:style w:type="paragraph" w:customStyle="1" w:styleId="1">
    <w:name w:val="列出段落1"/>
    <w:basedOn w:val="a"/>
    <w:pPr>
      <w:ind w:firstLineChars="200" w:firstLine="420"/>
    </w:pPr>
  </w:style>
  <w:style w:type="paragraph" w:customStyle="1" w:styleId="CharCharCharCharCharChar1CharCharChar">
    <w:name w:val="Char Char Char Char Char Char1 Char Char Char"/>
    <w:basedOn w:val="a"/>
    <w:pPr>
      <w:autoSpaceDE w:val="0"/>
      <w:autoSpaceDN w:val="0"/>
      <w:adjustRightInd w:val="0"/>
      <w:jc w:val="left"/>
      <w:textAlignment w:val="baseline"/>
    </w:pPr>
    <w:rPr>
      <w:rFonts w:ascii="Times New Roman" w:eastAsia="方正仿宋简体" w:hAnsi="Times New Roman"/>
      <w:sz w:val="32"/>
      <w:szCs w:val="20"/>
    </w:rPr>
  </w:style>
  <w:style w:type="paragraph" w:customStyle="1" w:styleId="Default">
    <w:name w:val="Default"/>
    <w:pPr>
      <w:widowControl w:val="0"/>
      <w:autoSpaceDE w:val="0"/>
      <w:autoSpaceDN w:val="0"/>
      <w:adjustRightInd w:val="0"/>
    </w:pPr>
    <w:rPr>
      <w:rFonts w:ascii="微软雅黑" w:eastAsia="微软雅黑" w:cs="微软雅黑"/>
      <w:color w:val="000000"/>
      <w:sz w:val="24"/>
      <w:szCs w:val="24"/>
    </w:rPr>
  </w:style>
  <w:style w:type="character" w:customStyle="1" w:styleId="Char0">
    <w:name w:val="批注文字 Char"/>
    <w:link w:val="a4"/>
    <w:qFormat/>
    <w:rPr>
      <w:kern w:val="2"/>
      <w:sz w:val="21"/>
      <w:szCs w:val="22"/>
    </w:rPr>
  </w:style>
  <w:style w:type="character" w:customStyle="1" w:styleId="Char">
    <w:name w:val="批注主题 Char"/>
    <w:link w:val="a3"/>
    <w:qFormat/>
    <w:rPr>
      <w:b/>
      <w:bCs/>
      <w:kern w:val="2"/>
      <w:sz w:val="21"/>
      <w:szCs w:val="22"/>
    </w:rPr>
  </w:style>
  <w:style w:type="paragraph" w:styleId="ac">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21150;&#29702;&#26412;&#20844;&#21496;&#25351;&#23450;&#22522;&#37329;&#30340;&#35748;&#12289;&#30003;&#36141;&#31561;&#19994;&#21153;&#30340;&#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xcs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297</Words>
  <Characters>1697</Characters>
  <Application>Microsoft Office Word</Application>
  <DocSecurity>0</DocSecurity>
  <Lines>14</Lines>
  <Paragraphs>3</Paragraphs>
  <ScaleCrop>false</ScaleCrop>
  <Company>微软中国</Company>
  <LinksUpToDate>false</LinksUpToDate>
  <CharactersWithSpaces>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信达澳银基金管理有限公司</dc:title>
  <dc:creator>Lijie</dc:creator>
  <cp:lastModifiedBy>李兴哲</cp:lastModifiedBy>
  <cp:revision>4</cp:revision>
  <cp:lastPrinted>2012-04-10T06:55:00Z</cp:lastPrinted>
  <dcterms:created xsi:type="dcterms:W3CDTF">2018-08-27T02:31:00Z</dcterms:created>
  <dcterms:modified xsi:type="dcterms:W3CDTF">2018-08-29T02:49:00Z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2104574203</vt:i4>
  </property>
  <property fmtid="{D5CDD505-2E9C-101B-9397-08002B2CF9AE}" pid="3" name="_NewReviewCycle">
    <vt:lpwstr/>
  </property>
  <property fmtid="{D5CDD505-2E9C-101B-9397-08002B2CF9AE}" pid="4" name="_EmailSubject">
    <vt:lpwstr>信达澳银公告审核</vt:lpwstr>
  </property>
  <property fmtid="{D5CDD505-2E9C-101B-9397-08002B2CF9AE}" pid="5" name="_AuthorEmail">
    <vt:lpwstr>yangdl@yingmi.cn</vt:lpwstr>
  </property>
  <property fmtid="{D5CDD505-2E9C-101B-9397-08002B2CF9AE}" pid="6" name="_AuthorEmailDisplayName">
    <vt:lpwstr>杨丹麟</vt:lpwstr>
  </property>
  <property fmtid="{D5CDD505-2E9C-101B-9397-08002B2CF9AE}" pid="7" name="_ReviewingToolsShownOnce">
    <vt:lpwstr/>
  </property>
  <property fmtid="{D5CDD505-2E9C-101B-9397-08002B2CF9AE}" pid="8" name="KSOProductBuildVer">
    <vt:lpwstr>2052-10.1.0.7520</vt:lpwstr>
  </property>
</Properties>
</file>