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E21" w:rsidRPr="00D25E21" w:rsidRDefault="005F7714" w:rsidP="00D25E21">
      <w:pPr>
        <w:pStyle w:val="Default"/>
        <w:spacing w:line="360" w:lineRule="auto"/>
        <w:jc w:val="center"/>
        <w:rPr>
          <w:b/>
        </w:rPr>
      </w:pPr>
      <w:r>
        <w:rPr>
          <w:rFonts w:hint="eastAsia"/>
          <w:b/>
        </w:rPr>
        <w:t>关于</w:t>
      </w:r>
      <w:r w:rsidR="00AC3112" w:rsidRPr="0052301E">
        <w:rPr>
          <w:rFonts w:hint="eastAsia"/>
          <w:b/>
        </w:rPr>
        <w:t>泰达宏利中证500指数分级</w:t>
      </w:r>
      <w:r>
        <w:rPr>
          <w:rFonts w:hint="eastAsia"/>
          <w:b/>
        </w:rPr>
        <w:t>证券投资</w:t>
      </w:r>
      <w:r w:rsidR="00AC3112" w:rsidRPr="0052301E">
        <w:rPr>
          <w:rFonts w:hint="eastAsia"/>
          <w:b/>
        </w:rPr>
        <w:t>基金</w:t>
      </w:r>
    </w:p>
    <w:p w:rsidR="0052301E" w:rsidRDefault="005F7714" w:rsidP="00D25E21">
      <w:pPr>
        <w:pStyle w:val="Default"/>
        <w:spacing w:line="360" w:lineRule="auto"/>
        <w:jc w:val="center"/>
        <w:rPr>
          <w:b/>
        </w:rPr>
      </w:pPr>
      <w:r>
        <w:rPr>
          <w:rFonts w:hint="eastAsia"/>
          <w:b/>
        </w:rPr>
        <w:t>定期</w:t>
      </w:r>
      <w:r w:rsidR="00D25E21" w:rsidRPr="00D25E21">
        <w:rPr>
          <w:rFonts w:hint="eastAsia"/>
          <w:b/>
        </w:rPr>
        <w:t>份额折算结果及恢复交易的公告</w:t>
      </w:r>
    </w:p>
    <w:p w:rsidR="00D25E21" w:rsidRDefault="00D25E21" w:rsidP="00D25E21">
      <w:pPr>
        <w:pStyle w:val="Default"/>
      </w:pPr>
    </w:p>
    <w:p w:rsidR="00D25E21" w:rsidRPr="00D25E21" w:rsidRDefault="00D25E21" w:rsidP="00F463D5">
      <w:pPr>
        <w:pStyle w:val="Default"/>
        <w:spacing w:line="360" w:lineRule="auto"/>
        <w:ind w:firstLine="480"/>
        <w:rPr>
          <w:sz w:val="23"/>
          <w:szCs w:val="23"/>
        </w:rPr>
      </w:pPr>
      <w:r>
        <w:rPr>
          <w:rFonts w:hint="eastAsia"/>
          <w:sz w:val="23"/>
          <w:szCs w:val="23"/>
        </w:rPr>
        <w:t>根据泰达宏利中证500指数分级证券投资基金（以下简称：本基金）基金合同、招募说明书及深圳证券交易所和中国证券登记结算有限责任公司的相关业务规定，泰达宏利基金管理有限公司（以下简称：本公司）以</w:t>
      </w:r>
      <w:r w:rsidR="007678FD">
        <w:rPr>
          <w:sz w:val="23"/>
          <w:szCs w:val="23"/>
        </w:rPr>
        <w:t>201</w:t>
      </w:r>
      <w:r w:rsidR="00836632">
        <w:rPr>
          <w:rFonts w:hint="eastAsia"/>
          <w:sz w:val="23"/>
          <w:szCs w:val="23"/>
        </w:rPr>
        <w:t>6</w:t>
      </w:r>
      <w:r>
        <w:rPr>
          <w:rFonts w:hint="eastAsia"/>
          <w:sz w:val="23"/>
          <w:szCs w:val="23"/>
        </w:rPr>
        <w:t>年</w:t>
      </w:r>
      <w:r>
        <w:rPr>
          <w:sz w:val="23"/>
          <w:szCs w:val="23"/>
        </w:rPr>
        <w:t>1</w:t>
      </w:r>
      <w:r>
        <w:rPr>
          <w:rFonts w:hint="eastAsia"/>
          <w:sz w:val="23"/>
          <w:szCs w:val="23"/>
        </w:rPr>
        <w:t>月</w:t>
      </w:r>
      <w:r w:rsidR="00836632">
        <w:rPr>
          <w:rFonts w:hint="eastAsia"/>
          <w:sz w:val="23"/>
          <w:szCs w:val="23"/>
        </w:rPr>
        <w:t>4</w:t>
      </w:r>
      <w:r>
        <w:rPr>
          <w:rFonts w:hint="eastAsia"/>
          <w:sz w:val="23"/>
          <w:szCs w:val="23"/>
        </w:rPr>
        <w:t>日为份额折算基准日，对泰达宏利中证500</w:t>
      </w:r>
      <w:r w:rsidR="00F463D5">
        <w:rPr>
          <w:rFonts w:hint="eastAsia"/>
          <w:sz w:val="23"/>
          <w:szCs w:val="23"/>
        </w:rPr>
        <w:t>（</w:t>
      </w:r>
      <w:r w:rsidR="00F463D5" w:rsidRPr="00F463D5">
        <w:rPr>
          <w:rFonts w:hint="eastAsia"/>
          <w:sz w:val="23"/>
          <w:szCs w:val="23"/>
        </w:rPr>
        <w:t>基金代码为：</w:t>
      </w:r>
      <w:r w:rsidR="00F463D5" w:rsidRPr="00F463D5">
        <w:rPr>
          <w:sz w:val="23"/>
          <w:szCs w:val="23"/>
        </w:rPr>
        <w:t>“</w:t>
      </w:r>
      <w:r w:rsidR="00F463D5" w:rsidRPr="00F463D5">
        <w:rPr>
          <w:sz w:val="23"/>
          <w:szCs w:val="23"/>
        </w:rPr>
        <w:t>162216</w:t>
      </w:r>
      <w:r w:rsidR="00F463D5" w:rsidRPr="00F463D5">
        <w:rPr>
          <w:sz w:val="23"/>
          <w:szCs w:val="23"/>
        </w:rPr>
        <w:t>”</w:t>
      </w:r>
      <w:r w:rsidR="00F463D5" w:rsidRPr="00F463D5">
        <w:rPr>
          <w:rFonts w:hint="eastAsia"/>
          <w:sz w:val="23"/>
          <w:szCs w:val="23"/>
        </w:rPr>
        <w:t>，场内基金简称为：</w:t>
      </w:r>
      <w:r w:rsidR="00F463D5" w:rsidRPr="00F463D5">
        <w:rPr>
          <w:sz w:val="23"/>
          <w:szCs w:val="23"/>
        </w:rPr>
        <w:t>“</w:t>
      </w:r>
      <w:r w:rsidR="00F463D5" w:rsidRPr="00F463D5">
        <w:rPr>
          <w:rFonts w:hint="eastAsia"/>
          <w:sz w:val="23"/>
          <w:szCs w:val="23"/>
        </w:rPr>
        <w:t>泰达</w:t>
      </w:r>
      <w:r w:rsidR="00F463D5" w:rsidRPr="00F463D5">
        <w:rPr>
          <w:sz w:val="23"/>
          <w:szCs w:val="23"/>
        </w:rPr>
        <w:t>500</w:t>
      </w:r>
      <w:r w:rsidR="00F463D5" w:rsidRPr="00F463D5">
        <w:rPr>
          <w:sz w:val="23"/>
          <w:szCs w:val="23"/>
        </w:rPr>
        <w:t>”</w:t>
      </w:r>
      <w:r w:rsidR="00F463D5">
        <w:rPr>
          <w:rFonts w:hint="eastAsia"/>
          <w:sz w:val="23"/>
          <w:szCs w:val="23"/>
        </w:rPr>
        <w:t>）</w:t>
      </w:r>
      <w:r>
        <w:rPr>
          <w:rFonts w:hint="eastAsia"/>
          <w:sz w:val="23"/>
          <w:szCs w:val="23"/>
        </w:rPr>
        <w:t>的场外份额、场内份额以及泰达</w:t>
      </w:r>
      <w:r w:rsidR="00836632">
        <w:rPr>
          <w:rFonts w:hint="eastAsia"/>
          <w:sz w:val="23"/>
          <w:szCs w:val="23"/>
        </w:rPr>
        <w:t>500A</w:t>
      </w:r>
      <w:r>
        <w:rPr>
          <w:rFonts w:hint="eastAsia"/>
          <w:sz w:val="23"/>
          <w:szCs w:val="23"/>
        </w:rPr>
        <w:t>份额</w:t>
      </w:r>
      <w:r w:rsidR="00F463D5">
        <w:rPr>
          <w:rFonts w:hint="eastAsia"/>
          <w:sz w:val="23"/>
          <w:szCs w:val="23"/>
        </w:rPr>
        <w:t>（</w:t>
      </w:r>
      <w:r w:rsidR="00F463D5" w:rsidRPr="00F463D5">
        <w:rPr>
          <w:rFonts w:hint="eastAsia"/>
          <w:sz w:val="23"/>
          <w:szCs w:val="23"/>
        </w:rPr>
        <w:t>基金代码为：</w:t>
      </w:r>
      <w:r w:rsidR="00F463D5" w:rsidRPr="00F463D5">
        <w:rPr>
          <w:sz w:val="23"/>
          <w:szCs w:val="23"/>
        </w:rPr>
        <w:t>“</w:t>
      </w:r>
      <w:r w:rsidR="00F463D5" w:rsidRPr="00F463D5">
        <w:rPr>
          <w:sz w:val="23"/>
          <w:szCs w:val="23"/>
        </w:rPr>
        <w:t>150053</w:t>
      </w:r>
      <w:r w:rsidR="00F463D5" w:rsidRPr="00F463D5">
        <w:rPr>
          <w:sz w:val="23"/>
          <w:szCs w:val="23"/>
        </w:rPr>
        <w:t>”</w:t>
      </w:r>
      <w:r w:rsidR="00F463D5" w:rsidRPr="00F463D5">
        <w:rPr>
          <w:rFonts w:hint="eastAsia"/>
          <w:sz w:val="23"/>
          <w:szCs w:val="23"/>
        </w:rPr>
        <w:t>，场内基金简称为：</w:t>
      </w:r>
      <w:r w:rsidR="00F463D5" w:rsidRPr="00F463D5">
        <w:rPr>
          <w:sz w:val="23"/>
          <w:szCs w:val="23"/>
        </w:rPr>
        <w:t>“</w:t>
      </w:r>
      <w:r w:rsidR="00F463D5" w:rsidRPr="00F463D5">
        <w:rPr>
          <w:rFonts w:hint="eastAsia"/>
          <w:sz w:val="23"/>
          <w:szCs w:val="23"/>
        </w:rPr>
        <w:t>泰达</w:t>
      </w:r>
      <w:r w:rsidR="00F463D5" w:rsidRPr="00F463D5">
        <w:rPr>
          <w:sz w:val="23"/>
          <w:szCs w:val="23"/>
        </w:rPr>
        <w:t>500A</w:t>
      </w:r>
      <w:r w:rsidR="00F463D5" w:rsidRPr="00F463D5">
        <w:rPr>
          <w:sz w:val="23"/>
          <w:szCs w:val="23"/>
        </w:rPr>
        <w:t>”</w:t>
      </w:r>
      <w:r w:rsidR="00F463D5">
        <w:rPr>
          <w:rFonts w:hint="eastAsia"/>
          <w:sz w:val="23"/>
          <w:szCs w:val="23"/>
        </w:rPr>
        <w:t>）</w:t>
      </w:r>
      <w:r>
        <w:rPr>
          <w:rFonts w:hint="eastAsia"/>
          <w:sz w:val="23"/>
          <w:szCs w:val="23"/>
        </w:rPr>
        <w:t>实施定期份额折算，现将相关事项公告如下：</w:t>
      </w:r>
    </w:p>
    <w:p w:rsidR="00D25E21" w:rsidRPr="00D25E21" w:rsidRDefault="00F463D5" w:rsidP="00F463D5">
      <w:pPr>
        <w:pStyle w:val="Default"/>
        <w:spacing w:beforeLines="50" w:afterLines="50" w:line="360" w:lineRule="auto"/>
        <w:rPr>
          <w:b/>
        </w:rPr>
      </w:pPr>
      <w:r>
        <w:rPr>
          <w:rFonts w:hint="eastAsia"/>
        </w:rPr>
        <w:t xml:space="preserve">   </w:t>
      </w:r>
      <w:r w:rsidR="00D25E21">
        <w:t xml:space="preserve"> </w:t>
      </w:r>
      <w:r w:rsidR="00D25E21">
        <w:rPr>
          <w:rFonts w:hint="eastAsia"/>
          <w:sz w:val="23"/>
          <w:szCs w:val="23"/>
        </w:rPr>
        <w:t>一、份额折算结果</w:t>
      </w:r>
    </w:p>
    <w:p w:rsidR="00A3488C" w:rsidRDefault="007678FD" w:rsidP="00894321">
      <w:pPr>
        <w:pStyle w:val="Default"/>
        <w:spacing w:line="360" w:lineRule="auto"/>
        <w:ind w:firstLine="480"/>
        <w:rPr>
          <w:sz w:val="23"/>
          <w:szCs w:val="23"/>
        </w:rPr>
      </w:pPr>
      <w:r>
        <w:rPr>
          <w:sz w:val="23"/>
          <w:szCs w:val="23"/>
        </w:rPr>
        <w:t>201</w:t>
      </w:r>
      <w:r w:rsidR="00836632">
        <w:rPr>
          <w:rFonts w:hint="eastAsia"/>
          <w:sz w:val="23"/>
          <w:szCs w:val="23"/>
        </w:rPr>
        <w:t>6</w:t>
      </w:r>
      <w:r w:rsidR="00AC3112">
        <w:rPr>
          <w:rFonts w:hint="eastAsia"/>
          <w:sz w:val="23"/>
          <w:szCs w:val="23"/>
        </w:rPr>
        <w:t>年</w:t>
      </w:r>
      <w:r w:rsidR="00AC3112">
        <w:rPr>
          <w:sz w:val="23"/>
          <w:szCs w:val="23"/>
        </w:rPr>
        <w:t>1</w:t>
      </w:r>
      <w:r w:rsidR="00AC3112">
        <w:rPr>
          <w:rFonts w:hint="eastAsia"/>
          <w:sz w:val="23"/>
          <w:szCs w:val="23"/>
        </w:rPr>
        <w:t>月</w:t>
      </w:r>
      <w:r w:rsidR="00836632">
        <w:rPr>
          <w:rFonts w:hint="eastAsia"/>
          <w:sz w:val="23"/>
          <w:szCs w:val="23"/>
        </w:rPr>
        <w:t>4</w:t>
      </w:r>
      <w:r w:rsidR="00AC3112">
        <w:rPr>
          <w:rFonts w:hint="eastAsia"/>
          <w:sz w:val="23"/>
          <w:szCs w:val="23"/>
        </w:rPr>
        <w:t>日，泰达中证500</w:t>
      </w:r>
      <w:r w:rsidR="00504B1B">
        <w:rPr>
          <w:rFonts w:hint="eastAsia"/>
          <w:sz w:val="23"/>
          <w:szCs w:val="23"/>
        </w:rPr>
        <w:t>份额的场外份额经折算后</w:t>
      </w:r>
      <w:r w:rsidR="00734D83">
        <w:rPr>
          <w:rFonts w:hint="eastAsia"/>
          <w:sz w:val="23"/>
          <w:szCs w:val="23"/>
        </w:rPr>
        <w:t>新增的</w:t>
      </w:r>
      <w:r w:rsidR="00AC3112">
        <w:rPr>
          <w:rFonts w:hint="eastAsia"/>
          <w:sz w:val="23"/>
          <w:szCs w:val="23"/>
        </w:rPr>
        <w:t>份额数</w:t>
      </w:r>
      <w:r w:rsidR="00734D83">
        <w:rPr>
          <w:rFonts w:hint="eastAsia"/>
          <w:sz w:val="23"/>
          <w:szCs w:val="23"/>
        </w:rPr>
        <w:t>按四舍五入</w:t>
      </w:r>
      <w:r w:rsidR="00AC3112">
        <w:rPr>
          <w:rFonts w:hint="eastAsia"/>
          <w:sz w:val="23"/>
          <w:szCs w:val="23"/>
        </w:rPr>
        <w:t>保留到小数点后两位</w:t>
      </w:r>
      <w:r w:rsidR="005F7714">
        <w:rPr>
          <w:rFonts w:hint="eastAsia"/>
          <w:sz w:val="23"/>
          <w:szCs w:val="23"/>
        </w:rPr>
        <w:t>，</w:t>
      </w:r>
      <w:r w:rsidR="00CC3AEB" w:rsidRPr="00CC3AEB">
        <w:rPr>
          <w:rFonts w:hint="eastAsia"/>
          <w:sz w:val="23"/>
          <w:szCs w:val="23"/>
        </w:rPr>
        <w:t>由此产生的误差计入基金财产</w:t>
      </w:r>
      <w:r w:rsidR="00AC3112">
        <w:rPr>
          <w:rFonts w:hint="eastAsia"/>
          <w:sz w:val="23"/>
          <w:szCs w:val="23"/>
        </w:rPr>
        <w:t>；泰达中证500份额的场内份额、泰达</w:t>
      </w:r>
      <w:r w:rsidR="00836632">
        <w:rPr>
          <w:rFonts w:hint="eastAsia"/>
          <w:sz w:val="23"/>
          <w:szCs w:val="23"/>
        </w:rPr>
        <w:t>500A</w:t>
      </w:r>
      <w:r w:rsidR="00AC3112">
        <w:rPr>
          <w:rFonts w:hint="eastAsia"/>
          <w:sz w:val="23"/>
          <w:szCs w:val="23"/>
        </w:rPr>
        <w:t>份额经折算后</w:t>
      </w:r>
      <w:r w:rsidR="00734D83">
        <w:rPr>
          <w:rFonts w:hint="eastAsia"/>
          <w:sz w:val="23"/>
          <w:szCs w:val="23"/>
        </w:rPr>
        <w:t>新增</w:t>
      </w:r>
      <w:r w:rsidR="00AC3112">
        <w:rPr>
          <w:rFonts w:hint="eastAsia"/>
          <w:sz w:val="23"/>
          <w:szCs w:val="23"/>
        </w:rPr>
        <w:t>的</w:t>
      </w:r>
      <w:r w:rsidR="00A521FA">
        <w:rPr>
          <w:rFonts w:hint="eastAsia"/>
          <w:sz w:val="23"/>
          <w:szCs w:val="23"/>
        </w:rPr>
        <w:t>泰达</w:t>
      </w:r>
      <w:r w:rsidR="00AC3112">
        <w:rPr>
          <w:rFonts w:hint="eastAsia"/>
          <w:sz w:val="23"/>
          <w:szCs w:val="23"/>
        </w:rPr>
        <w:t>中证500</w:t>
      </w:r>
      <w:proofErr w:type="gramStart"/>
      <w:r w:rsidR="00AC3112">
        <w:rPr>
          <w:rFonts w:hint="eastAsia"/>
          <w:sz w:val="23"/>
          <w:szCs w:val="23"/>
        </w:rPr>
        <w:t>份额数取整</w:t>
      </w:r>
      <w:proofErr w:type="gramEnd"/>
      <w:r w:rsidR="00AC3112">
        <w:rPr>
          <w:rFonts w:hint="eastAsia"/>
          <w:sz w:val="23"/>
          <w:szCs w:val="23"/>
        </w:rPr>
        <w:t>计算（最小单位为</w:t>
      </w:r>
      <w:r w:rsidR="00AC3112">
        <w:rPr>
          <w:sz w:val="23"/>
          <w:szCs w:val="23"/>
        </w:rPr>
        <w:t>1</w:t>
      </w:r>
      <w:r w:rsidR="00AC3112">
        <w:rPr>
          <w:rFonts w:hint="eastAsia"/>
          <w:sz w:val="23"/>
          <w:szCs w:val="23"/>
        </w:rPr>
        <w:t>份），舍去部分计入基金财产。份额折算比例精确到小数点后第</w:t>
      </w:r>
      <w:r w:rsidR="00AC3112">
        <w:rPr>
          <w:sz w:val="23"/>
          <w:szCs w:val="23"/>
        </w:rPr>
        <w:t>9</w:t>
      </w:r>
      <w:r w:rsidR="00AC3112">
        <w:rPr>
          <w:rFonts w:hint="eastAsia"/>
          <w:sz w:val="23"/>
          <w:szCs w:val="23"/>
        </w:rPr>
        <w:t>位，如下表所示：</w:t>
      </w:r>
    </w:p>
    <w:tbl>
      <w:tblPr>
        <w:tblpPr w:leftFromText="180" w:rightFromText="180" w:vertAnchor="text" w:horzAnchor="margin" w:tblpXSpec="center" w:tblpY="140"/>
        <w:tblW w:w="9322" w:type="dxa"/>
        <w:tblBorders>
          <w:top w:val="single" w:sz="6" w:space="0" w:color="000000"/>
          <w:left w:val="single" w:sz="6" w:space="0" w:color="000000"/>
          <w:bottom w:val="single" w:sz="6" w:space="0" w:color="000000"/>
          <w:right w:val="single" w:sz="6" w:space="0" w:color="000000"/>
        </w:tblBorders>
        <w:tblLayout w:type="fixed"/>
        <w:tblLook w:val="0000"/>
      </w:tblPr>
      <w:tblGrid>
        <w:gridCol w:w="2235"/>
        <w:gridCol w:w="1597"/>
        <w:gridCol w:w="1379"/>
        <w:gridCol w:w="1418"/>
        <w:gridCol w:w="1276"/>
        <w:gridCol w:w="1417"/>
      </w:tblGrid>
      <w:tr w:rsidR="00AC3112" w:rsidRPr="00961A16" w:rsidTr="0040227A">
        <w:trPr>
          <w:trHeight w:val="282"/>
        </w:trPr>
        <w:tc>
          <w:tcPr>
            <w:tcW w:w="2235" w:type="dxa"/>
            <w:tcBorders>
              <w:top w:val="single" w:sz="8" w:space="0" w:color="000000"/>
              <w:left w:val="single" w:sz="8" w:space="0" w:color="000000"/>
              <w:bottom w:val="single" w:sz="8" w:space="0" w:color="000000"/>
              <w:right w:val="single" w:sz="8" w:space="0" w:color="000000"/>
            </w:tcBorders>
            <w:shd w:val="clear" w:color="auto" w:fill="FFFFFF"/>
          </w:tcPr>
          <w:p w:rsidR="00AC3112" w:rsidRPr="00E76639" w:rsidRDefault="00AC3112" w:rsidP="00AC3112">
            <w:pPr>
              <w:autoSpaceDE w:val="0"/>
              <w:autoSpaceDN w:val="0"/>
              <w:adjustRightInd w:val="0"/>
              <w:jc w:val="center"/>
              <w:rPr>
                <w:rFonts w:asciiTheme="minorEastAsia" w:hAnsiTheme="minorEastAsia" w:cs="宋体"/>
                <w:kern w:val="0"/>
                <w:sz w:val="18"/>
                <w:szCs w:val="18"/>
              </w:rPr>
            </w:pPr>
            <w:r w:rsidRPr="00E76639">
              <w:rPr>
                <w:rFonts w:asciiTheme="minorEastAsia" w:hAnsiTheme="minorEastAsia" w:cs="宋体" w:hint="eastAsia"/>
                <w:kern w:val="0"/>
                <w:sz w:val="18"/>
                <w:szCs w:val="18"/>
              </w:rPr>
              <w:t>基金份额名称</w:t>
            </w:r>
            <w:r w:rsidRPr="00E76639">
              <w:rPr>
                <w:rFonts w:asciiTheme="minorEastAsia" w:hAnsiTheme="minorEastAsia" w:cs="宋体"/>
                <w:kern w:val="0"/>
                <w:sz w:val="18"/>
                <w:szCs w:val="18"/>
              </w:rPr>
              <w:t xml:space="preserve"> </w:t>
            </w:r>
          </w:p>
        </w:tc>
        <w:tc>
          <w:tcPr>
            <w:tcW w:w="1597" w:type="dxa"/>
            <w:tcBorders>
              <w:top w:val="single" w:sz="8" w:space="0" w:color="000000"/>
              <w:left w:val="single" w:sz="8" w:space="0" w:color="000000"/>
              <w:bottom w:val="single" w:sz="8" w:space="0" w:color="000000"/>
              <w:right w:val="single" w:sz="8" w:space="0" w:color="000000"/>
            </w:tcBorders>
            <w:shd w:val="clear" w:color="auto" w:fill="FFFFFF"/>
          </w:tcPr>
          <w:p w:rsidR="00AC3112" w:rsidRPr="00E76639" w:rsidRDefault="00AC3112" w:rsidP="00AC3112">
            <w:pPr>
              <w:autoSpaceDE w:val="0"/>
              <w:autoSpaceDN w:val="0"/>
              <w:adjustRightInd w:val="0"/>
              <w:jc w:val="center"/>
              <w:rPr>
                <w:rFonts w:asciiTheme="minorEastAsia" w:hAnsiTheme="minorEastAsia" w:cs="宋体"/>
                <w:kern w:val="0"/>
                <w:sz w:val="18"/>
                <w:szCs w:val="18"/>
              </w:rPr>
            </w:pPr>
            <w:r w:rsidRPr="00E76639">
              <w:rPr>
                <w:rFonts w:asciiTheme="minorEastAsia" w:hAnsiTheme="minorEastAsia" w:cs="宋体" w:hint="eastAsia"/>
                <w:kern w:val="0"/>
                <w:sz w:val="18"/>
                <w:szCs w:val="18"/>
              </w:rPr>
              <w:t>折算前份额</w:t>
            </w:r>
            <w:r w:rsidRPr="00E76639">
              <w:rPr>
                <w:rFonts w:asciiTheme="minorEastAsia" w:hAnsiTheme="minorEastAsia" w:cs="宋体"/>
                <w:kern w:val="0"/>
                <w:sz w:val="18"/>
                <w:szCs w:val="18"/>
              </w:rPr>
              <w:t xml:space="preserve"> </w:t>
            </w:r>
          </w:p>
        </w:tc>
        <w:tc>
          <w:tcPr>
            <w:tcW w:w="1379" w:type="dxa"/>
            <w:tcBorders>
              <w:top w:val="single" w:sz="8" w:space="0" w:color="000000"/>
              <w:left w:val="single" w:sz="8" w:space="0" w:color="000000"/>
              <w:bottom w:val="single" w:sz="8" w:space="0" w:color="000000"/>
              <w:right w:val="single" w:sz="8" w:space="0" w:color="000000"/>
            </w:tcBorders>
            <w:shd w:val="clear" w:color="auto" w:fill="FFFFFF"/>
          </w:tcPr>
          <w:p w:rsidR="00AC3112" w:rsidRPr="00E76639" w:rsidRDefault="00AC3112" w:rsidP="00AC3112">
            <w:pPr>
              <w:autoSpaceDE w:val="0"/>
              <w:autoSpaceDN w:val="0"/>
              <w:adjustRightInd w:val="0"/>
              <w:jc w:val="center"/>
              <w:rPr>
                <w:rFonts w:asciiTheme="minorEastAsia" w:hAnsiTheme="minorEastAsia" w:cs="宋体"/>
                <w:kern w:val="0"/>
                <w:sz w:val="18"/>
                <w:szCs w:val="18"/>
              </w:rPr>
            </w:pPr>
            <w:r w:rsidRPr="00E76639">
              <w:rPr>
                <w:rFonts w:asciiTheme="minorEastAsia" w:hAnsiTheme="minorEastAsia" w:cs="宋体" w:hint="eastAsia"/>
                <w:kern w:val="0"/>
                <w:sz w:val="18"/>
                <w:szCs w:val="18"/>
              </w:rPr>
              <w:t>新增份额折算比例</w:t>
            </w:r>
            <w:r w:rsidRPr="00E76639">
              <w:rPr>
                <w:rFonts w:asciiTheme="minorEastAsia" w:hAnsiTheme="minorEastAsia" w:cs="宋体"/>
                <w:kern w:val="0"/>
                <w:sz w:val="18"/>
                <w:szCs w:val="18"/>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AC3112" w:rsidRPr="00E76639" w:rsidRDefault="00AC3112" w:rsidP="00AC3112">
            <w:pPr>
              <w:autoSpaceDE w:val="0"/>
              <w:autoSpaceDN w:val="0"/>
              <w:adjustRightInd w:val="0"/>
              <w:jc w:val="center"/>
              <w:rPr>
                <w:rFonts w:asciiTheme="minorEastAsia" w:hAnsiTheme="minorEastAsia" w:cs="宋体"/>
                <w:kern w:val="0"/>
                <w:sz w:val="18"/>
                <w:szCs w:val="18"/>
              </w:rPr>
            </w:pPr>
            <w:r w:rsidRPr="00E76639">
              <w:rPr>
                <w:rFonts w:asciiTheme="minorEastAsia" w:hAnsiTheme="minorEastAsia" w:cs="宋体" w:hint="eastAsia"/>
                <w:kern w:val="0"/>
                <w:sz w:val="18"/>
                <w:szCs w:val="18"/>
              </w:rPr>
              <w:t>折算后份额</w:t>
            </w:r>
            <w:r w:rsidRPr="00E76639">
              <w:rPr>
                <w:rFonts w:asciiTheme="minorEastAsia" w:hAnsiTheme="minorEastAsia" w:cs="宋体"/>
                <w:kern w:val="0"/>
                <w:sz w:val="18"/>
                <w:szCs w:val="1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AC3112" w:rsidRPr="00E76639" w:rsidRDefault="00AC3112" w:rsidP="00AC3112">
            <w:pPr>
              <w:autoSpaceDE w:val="0"/>
              <w:autoSpaceDN w:val="0"/>
              <w:adjustRightInd w:val="0"/>
              <w:jc w:val="center"/>
              <w:rPr>
                <w:rFonts w:asciiTheme="minorEastAsia" w:hAnsiTheme="minorEastAsia" w:cs="宋体"/>
                <w:kern w:val="0"/>
                <w:sz w:val="18"/>
                <w:szCs w:val="18"/>
              </w:rPr>
            </w:pPr>
            <w:r w:rsidRPr="00E76639">
              <w:rPr>
                <w:rFonts w:asciiTheme="minorEastAsia" w:hAnsiTheme="minorEastAsia" w:cs="宋体" w:hint="eastAsia"/>
                <w:kern w:val="0"/>
                <w:sz w:val="18"/>
                <w:szCs w:val="18"/>
              </w:rPr>
              <w:t>折算后基金份额净值</w:t>
            </w:r>
            <w:r w:rsidRPr="00E76639">
              <w:rPr>
                <w:rFonts w:asciiTheme="minorEastAsia" w:hAnsiTheme="minorEastAsia" w:cs="宋体"/>
                <w:kern w:val="0"/>
                <w:sz w:val="18"/>
                <w:szCs w:val="18"/>
              </w:rPr>
              <w:t xml:space="preserve">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AC3112" w:rsidRPr="00E76639" w:rsidRDefault="00AC3112" w:rsidP="00AC3112">
            <w:pPr>
              <w:autoSpaceDE w:val="0"/>
              <w:autoSpaceDN w:val="0"/>
              <w:adjustRightInd w:val="0"/>
              <w:jc w:val="center"/>
              <w:rPr>
                <w:rFonts w:asciiTheme="minorEastAsia" w:hAnsiTheme="minorEastAsia" w:cs="宋体"/>
                <w:kern w:val="0"/>
                <w:sz w:val="18"/>
                <w:szCs w:val="18"/>
              </w:rPr>
            </w:pPr>
            <w:r w:rsidRPr="00E76639">
              <w:rPr>
                <w:rFonts w:asciiTheme="minorEastAsia" w:hAnsiTheme="minorEastAsia" w:cs="宋体" w:hint="eastAsia"/>
                <w:kern w:val="0"/>
                <w:sz w:val="18"/>
                <w:szCs w:val="18"/>
              </w:rPr>
              <w:t>折算后基金份额累计净值</w:t>
            </w:r>
            <w:r w:rsidRPr="00E76639">
              <w:rPr>
                <w:rFonts w:asciiTheme="minorEastAsia" w:hAnsiTheme="minorEastAsia" w:cs="宋体"/>
                <w:kern w:val="0"/>
                <w:sz w:val="18"/>
                <w:szCs w:val="18"/>
              </w:rPr>
              <w:t xml:space="preserve"> </w:t>
            </w:r>
          </w:p>
        </w:tc>
      </w:tr>
      <w:tr w:rsidR="0040227A" w:rsidRPr="00961A16" w:rsidTr="0040227A">
        <w:trPr>
          <w:trHeight w:val="115"/>
        </w:trPr>
        <w:tc>
          <w:tcPr>
            <w:tcW w:w="2235" w:type="dxa"/>
            <w:tcBorders>
              <w:top w:val="single" w:sz="8" w:space="0" w:color="000000"/>
              <w:left w:val="single" w:sz="8" w:space="0" w:color="000000"/>
              <w:bottom w:val="single" w:sz="8" w:space="0" w:color="000000"/>
              <w:right w:val="single" w:sz="8" w:space="0" w:color="008000"/>
            </w:tcBorders>
            <w:shd w:val="clear" w:color="auto" w:fill="FFFFFF"/>
          </w:tcPr>
          <w:p w:rsidR="0040227A" w:rsidRPr="00E76639" w:rsidRDefault="0040227A" w:rsidP="00961A16">
            <w:pPr>
              <w:autoSpaceDE w:val="0"/>
              <w:autoSpaceDN w:val="0"/>
              <w:adjustRightInd w:val="0"/>
              <w:jc w:val="center"/>
              <w:rPr>
                <w:rFonts w:asciiTheme="minorEastAsia" w:hAnsiTheme="minorEastAsia" w:cs="宋体"/>
                <w:kern w:val="0"/>
                <w:sz w:val="18"/>
                <w:szCs w:val="18"/>
              </w:rPr>
            </w:pPr>
            <w:r w:rsidRPr="00E76639">
              <w:rPr>
                <w:rFonts w:asciiTheme="minorEastAsia" w:hAnsiTheme="minorEastAsia" w:cs="宋体" w:hint="eastAsia"/>
                <w:kern w:val="0"/>
                <w:sz w:val="18"/>
                <w:szCs w:val="18"/>
              </w:rPr>
              <w:t>泰达中证500场外份额</w:t>
            </w:r>
            <w:r w:rsidRPr="00E76639">
              <w:rPr>
                <w:rFonts w:asciiTheme="minorEastAsia" w:hAnsiTheme="minorEastAsia" w:cs="宋体"/>
                <w:kern w:val="0"/>
                <w:sz w:val="18"/>
                <w:szCs w:val="18"/>
              </w:rPr>
              <w:t xml:space="preserve"> </w:t>
            </w:r>
          </w:p>
        </w:tc>
        <w:tc>
          <w:tcPr>
            <w:tcW w:w="159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0227A" w:rsidRPr="0040227A" w:rsidRDefault="0040227A">
            <w:pPr>
              <w:jc w:val="center"/>
              <w:rPr>
                <w:rFonts w:ascii="宋体" w:eastAsia="宋体" w:hAnsi="宋体" w:cs="宋体"/>
                <w:color w:val="000000"/>
                <w:sz w:val="20"/>
                <w:szCs w:val="20"/>
              </w:rPr>
            </w:pPr>
            <w:r w:rsidRPr="0040227A">
              <w:rPr>
                <w:rFonts w:hint="eastAsia"/>
                <w:color w:val="000000"/>
                <w:sz w:val="20"/>
                <w:szCs w:val="20"/>
              </w:rPr>
              <w:t>31,320,479.93</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0227A" w:rsidRPr="0040227A" w:rsidRDefault="0040227A">
            <w:pPr>
              <w:jc w:val="center"/>
              <w:rPr>
                <w:rFonts w:ascii="宋体" w:eastAsia="宋体" w:hAnsi="宋体" w:cs="宋体"/>
                <w:color w:val="000000"/>
                <w:sz w:val="20"/>
                <w:szCs w:val="20"/>
              </w:rPr>
            </w:pPr>
            <w:r w:rsidRPr="0040227A">
              <w:rPr>
                <w:rFonts w:hint="eastAsia"/>
                <w:color w:val="000000"/>
                <w:sz w:val="20"/>
                <w:szCs w:val="20"/>
              </w:rPr>
              <w:t xml:space="preserve">0.017283371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0227A" w:rsidRPr="0040227A" w:rsidRDefault="0040227A">
            <w:pPr>
              <w:jc w:val="center"/>
              <w:rPr>
                <w:rFonts w:ascii="宋体" w:eastAsia="宋体" w:hAnsi="宋体" w:cs="宋体"/>
                <w:color w:val="000000"/>
                <w:sz w:val="20"/>
                <w:szCs w:val="20"/>
              </w:rPr>
            </w:pPr>
            <w:r w:rsidRPr="0040227A">
              <w:rPr>
                <w:rFonts w:hint="eastAsia"/>
                <w:color w:val="000000"/>
                <w:sz w:val="20"/>
                <w:szCs w:val="20"/>
              </w:rPr>
              <w:t>31,861,803.42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0227A" w:rsidRPr="0040227A" w:rsidRDefault="0040227A">
            <w:pPr>
              <w:jc w:val="center"/>
              <w:rPr>
                <w:rFonts w:ascii="宋体" w:eastAsia="宋体" w:hAnsi="宋体" w:cs="宋体"/>
                <w:color w:val="000000"/>
                <w:sz w:val="20"/>
                <w:szCs w:val="20"/>
              </w:rPr>
            </w:pPr>
            <w:r w:rsidRPr="0040227A">
              <w:rPr>
                <w:rFonts w:hint="eastAsia"/>
                <w:color w:val="000000"/>
                <w:sz w:val="20"/>
                <w:szCs w:val="20"/>
              </w:rPr>
              <w:t>0.9632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0227A" w:rsidRPr="0040227A" w:rsidRDefault="0040227A">
            <w:pPr>
              <w:jc w:val="center"/>
              <w:rPr>
                <w:rFonts w:ascii="宋体" w:eastAsia="宋体" w:hAnsi="宋体" w:cs="宋体"/>
                <w:color w:val="000000"/>
                <w:sz w:val="20"/>
                <w:szCs w:val="20"/>
              </w:rPr>
            </w:pPr>
            <w:r w:rsidRPr="0040227A">
              <w:rPr>
                <w:rFonts w:hint="eastAsia"/>
                <w:color w:val="000000"/>
                <w:sz w:val="20"/>
                <w:szCs w:val="20"/>
              </w:rPr>
              <w:t>2.0815</w:t>
            </w:r>
          </w:p>
        </w:tc>
      </w:tr>
      <w:tr w:rsidR="0040227A" w:rsidRPr="00961A16" w:rsidTr="0040227A">
        <w:trPr>
          <w:trHeight w:val="115"/>
        </w:trPr>
        <w:tc>
          <w:tcPr>
            <w:tcW w:w="2235" w:type="dxa"/>
            <w:tcBorders>
              <w:top w:val="single" w:sz="8" w:space="0" w:color="000000"/>
              <w:left w:val="single" w:sz="8" w:space="0" w:color="000000"/>
              <w:bottom w:val="single" w:sz="8" w:space="0" w:color="000000"/>
              <w:right w:val="single" w:sz="8" w:space="0" w:color="008000"/>
            </w:tcBorders>
            <w:shd w:val="clear" w:color="auto" w:fill="FFFFFF"/>
          </w:tcPr>
          <w:p w:rsidR="0040227A" w:rsidRPr="00E76639" w:rsidRDefault="0040227A" w:rsidP="00E76639">
            <w:pPr>
              <w:autoSpaceDE w:val="0"/>
              <w:autoSpaceDN w:val="0"/>
              <w:adjustRightInd w:val="0"/>
              <w:ind w:firstLineChars="150" w:firstLine="270"/>
              <w:rPr>
                <w:rFonts w:asciiTheme="minorEastAsia" w:hAnsiTheme="minorEastAsia" w:cs="宋体"/>
                <w:kern w:val="0"/>
                <w:sz w:val="18"/>
                <w:szCs w:val="18"/>
              </w:rPr>
            </w:pPr>
            <w:r w:rsidRPr="00E76639">
              <w:rPr>
                <w:rFonts w:asciiTheme="minorEastAsia" w:hAnsiTheme="minorEastAsia" w:cs="宋体" w:hint="eastAsia"/>
                <w:kern w:val="0"/>
                <w:sz w:val="18"/>
                <w:szCs w:val="18"/>
              </w:rPr>
              <w:t>泰达中证500场内份额</w:t>
            </w:r>
            <w:r w:rsidRPr="00E76639">
              <w:rPr>
                <w:rFonts w:asciiTheme="minorEastAsia" w:hAnsiTheme="minorEastAsia" w:cs="宋体"/>
                <w:kern w:val="0"/>
                <w:sz w:val="18"/>
                <w:szCs w:val="18"/>
              </w:rPr>
              <w:t xml:space="preserve"> </w:t>
            </w:r>
          </w:p>
        </w:tc>
        <w:tc>
          <w:tcPr>
            <w:tcW w:w="159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0227A" w:rsidRPr="0040227A" w:rsidRDefault="0040227A">
            <w:pPr>
              <w:jc w:val="center"/>
              <w:rPr>
                <w:rFonts w:ascii="宋体" w:eastAsia="宋体" w:hAnsi="宋体" w:cs="宋体"/>
                <w:color w:val="000000"/>
                <w:sz w:val="20"/>
                <w:szCs w:val="20"/>
              </w:rPr>
            </w:pPr>
            <w:r w:rsidRPr="0040227A">
              <w:rPr>
                <w:rFonts w:hint="eastAsia"/>
                <w:color w:val="000000"/>
                <w:sz w:val="20"/>
                <w:szCs w:val="20"/>
              </w:rPr>
              <w:t>1,386,164.00</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0227A" w:rsidRPr="0040227A" w:rsidRDefault="0040227A">
            <w:pPr>
              <w:jc w:val="center"/>
              <w:rPr>
                <w:rFonts w:ascii="宋体" w:eastAsia="宋体" w:hAnsi="宋体" w:cs="宋体"/>
                <w:color w:val="000000"/>
                <w:sz w:val="20"/>
                <w:szCs w:val="20"/>
              </w:rPr>
            </w:pPr>
            <w:r w:rsidRPr="0040227A">
              <w:rPr>
                <w:rFonts w:hint="eastAsia"/>
                <w:color w:val="000000"/>
                <w:sz w:val="20"/>
                <w:szCs w:val="20"/>
              </w:rPr>
              <w:t xml:space="preserve">0.017283371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0227A" w:rsidRPr="0040227A" w:rsidRDefault="0040227A">
            <w:pPr>
              <w:jc w:val="center"/>
              <w:rPr>
                <w:rFonts w:ascii="宋体" w:eastAsia="宋体" w:hAnsi="宋体" w:cs="宋体"/>
                <w:color w:val="000000"/>
                <w:sz w:val="20"/>
                <w:szCs w:val="20"/>
              </w:rPr>
            </w:pPr>
            <w:r w:rsidRPr="0040227A">
              <w:rPr>
                <w:rFonts w:hint="eastAsia"/>
                <w:color w:val="000000"/>
                <w:sz w:val="20"/>
                <w:szCs w:val="20"/>
              </w:rPr>
              <w:t>1,683,556.00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0227A" w:rsidRPr="0040227A" w:rsidRDefault="0040227A">
            <w:pPr>
              <w:jc w:val="center"/>
              <w:rPr>
                <w:rFonts w:ascii="宋体" w:eastAsia="宋体" w:hAnsi="宋体" w:cs="宋体"/>
                <w:color w:val="000000"/>
                <w:sz w:val="20"/>
                <w:szCs w:val="20"/>
              </w:rPr>
            </w:pPr>
            <w:r w:rsidRPr="0040227A">
              <w:rPr>
                <w:rFonts w:hint="eastAsia"/>
                <w:color w:val="000000"/>
                <w:sz w:val="20"/>
                <w:szCs w:val="20"/>
              </w:rPr>
              <w:t>0.9632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0227A" w:rsidRPr="0040227A" w:rsidRDefault="0040227A">
            <w:pPr>
              <w:jc w:val="center"/>
              <w:rPr>
                <w:rFonts w:ascii="宋体" w:eastAsia="宋体" w:hAnsi="宋体" w:cs="宋体"/>
                <w:color w:val="000000"/>
                <w:sz w:val="20"/>
                <w:szCs w:val="20"/>
              </w:rPr>
            </w:pPr>
            <w:r w:rsidRPr="0040227A">
              <w:rPr>
                <w:rFonts w:hint="eastAsia"/>
                <w:color w:val="000000"/>
                <w:sz w:val="20"/>
                <w:szCs w:val="20"/>
              </w:rPr>
              <w:t>2.0815</w:t>
            </w:r>
          </w:p>
        </w:tc>
      </w:tr>
      <w:tr w:rsidR="0040227A" w:rsidRPr="00961A16" w:rsidTr="0040227A">
        <w:trPr>
          <w:trHeight w:val="365"/>
        </w:trPr>
        <w:tc>
          <w:tcPr>
            <w:tcW w:w="2235" w:type="dxa"/>
            <w:tcBorders>
              <w:top w:val="single" w:sz="8" w:space="0" w:color="000000"/>
              <w:left w:val="single" w:sz="8" w:space="0" w:color="000000"/>
              <w:bottom w:val="single" w:sz="8" w:space="0" w:color="000000"/>
              <w:right w:val="single" w:sz="8" w:space="0" w:color="008000"/>
            </w:tcBorders>
            <w:shd w:val="clear" w:color="auto" w:fill="FFFFFF"/>
          </w:tcPr>
          <w:p w:rsidR="0040227A" w:rsidRPr="00E76639" w:rsidRDefault="0040227A" w:rsidP="00961A16">
            <w:pPr>
              <w:autoSpaceDE w:val="0"/>
              <w:autoSpaceDN w:val="0"/>
              <w:adjustRightInd w:val="0"/>
              <w:jc w:val="center"/>
              <w:rPr>
                <w:rFonts w:asciiTheme="minorEastAsia" w:hAnsiTheme="minorEastAsia" w:cs="宋体"/>
                <w:kern w:val="0"/>
                <w:sz w:val="18"/>
                <w:szCs w:val="18"/>
              </w:rPr>
            </w:pPr>
            <w:r w:rsidRPr="00E76639">
              <w:rPr>
                <w:rFonts w:asciiTheme="minorEastAsia" w:hAnsiTheme="minorEastAsia" w:cs="宋体" w:hint="eastAsia"/>
                <w:kern w:val="0"/>
                <w:sz w:val="18"/>
                <w:szCs w:val="18"/>
              </w:rPr>
              <w:t>泰达</w:t>
            </w:r>
            <w:r>
              <w:rPr>
                <w:rFonts w:asciiTheme="minorEastAsia" w:hAnsiTheme="minorEastAsia" w:cs="宋体" w:hint="eastAsia"/>
                <w:kern w:val="0"/>
                <w:sz w:val="18"/>
                <w:szCs w:val="18"/>
              </w:rPr>
              <w:t>500A</w:t>
            </w:r>
            <w:r w:rsidRPr="00E76639">
              <w:rPr>
                <w:rFonts w:asciiTheme="minorEastAsia" w:hAnsiTheme="minorEastAsia" w:cs="宋体" w:hint="eastAsia"/>
                <w:kern w:val="0"/>
                <w:sz w:val="18"/>
                <w:szCs w:val="18"/>
              </w:rPr>
              <w:t>份额</w:t>
            </w:r>
            <w:r w:rsidRPr="00E76639">
              <w:rPr>
                <w:rFonts w:asciiTheme="minorEastAsia" w:hAnsiTheme="minorEastAsia" w:cs="宋体"/>
                <w:kern w:val="0"/>
                <w:sz w:val="18"/>
                <w:szCs w:val="18"/>
              </w:rPr>
              <w:t xml:space="preserve"> </w:t>
            </w:r>
          </w:p>
        </w:tc>
        <w:tc>
          <w:tcPr>
            <w:tcW w:w="1597"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0227A" w:rsidRPr="0040227A" w:rsidRDefault="0040227A">
            <w:pPr>
              <w:jc w:val="center"/>
              <w:rPr>
                <w:rFonts w:ascii="宋体" w:eastAsia="宋体" w:hAnsi="宋体" w:cs="宋体"/>
                <w:color w:val="000000"/>
                <w:sz w:val="20"/>
                <w:szCs w:val="20"/>
              </w:rPr>
            </w:pPr>
            <w:r w:rsidRPr="0040227A">
              <w:rPr>
                <w:rFonts w:hint="eastAsia"/>
                <w:color w:val="000000"/>
                <w:sz w:val="20"/>
                <w:szCs w:val="20"/>
              </w:rPr>
              <w:t>6,328,292.00</w:t>
            </w:r>
          </w:p>
        </w:tc>
        <w:tc>
          <w:tcPr>
            <w:tcW w:w="13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0227A" w:rsidRPr="0040227A" w:rsidRDefault="0040227A">
            <w:pPr>
              <w:jc w:val="center"/>
              <w:rPr>
                <w:rFonts w:ascii="宋体" w:eastAsia="宋体" w:hAnsi="宋体" w:cs="宋体"/>
                <w:color w:val="000000"/>
                <w:sz w:val="20"/>
                <w:szCs w:val="20"/>
              </w:rPr>
            </w:pPr>
            <w:r w:rsidRPr="0040227A">
              <w:rPr>
                <w:rFonts w:hint="eastAsia"/>
                <w:color w:val="000000"/>
                <w:sz w:val="20"/>
                <w:szCs w:val="20"/>
              </w:rPr>
              <w:t xml:space="preserve">0.043208342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0227A" w:rsidRPr="0040227A" w:rsidRDefault="0040227A">
            <w:pPr>
              <w:jc w:val="center"/>
              <w:rPr>
                <w:rFonts w:ascii="宋体" w:eastAsia="宋体" w:hAnsi="宋体" w:cs="宋体"/>
                <w:color w:val="000000"/>
                <w:sz w:val="20"/>
                <w:szCs w:val="20"/>
              </w:rPr>
            </w:pPr>
            <w:r w:rsidRPr="0040227A">
              <w:rPr>
                <w:rFonts w:hint="eastAsia"/>
                <w:color w:val="000000"/>
                <w:sz w:val="20"/>
                <w:szCs w:val="20"/>
              </w:rPr>
              <w:t>6,328,292.00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0227A" w:rsidRPr="0040227A" w:rsidRDefault="0040227A">
            <w:pPr>
              <w:jc w:val="center"/>
              <w:rPr>
                <w:rFonts w:ascii="宋体" w:eastAsia="宋体" w:hAnsi="宋体" w:cs="宋体"/>
                <w:color w:val="000000"/>
                <w:sz w:val="20"/>
                <w:szCs w:val="20"/>
              </w:rPr>
            </w:pPr>
            <w:r w:rsidRPr="0040227A">
              <w:rPr>
                <w:rFonts w:hint="eastAsia"/>
                <w:color w:val="000000"/>
                <w:sz w:val="20"/>
                <w:szCs w:val="20"/>
              </w:rPr>
              <w:t>1.0005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0227A" w:rsidRPr="0040227A" w:rsidRDefault="0040227A">
            <w:pPr>
              <w:jc w:val="center"/>
              <w:rPr>
                <w:rFonts w:ascii="宋体" w:eastAsia="宋体" w:hAnsi="宋体" w:cs="宋体"/>
                <w:color w:val="000000"/>
                <w:sz w:val="20"/>
                <w:szCs w:val="20"/>
              </w:rPr>
            </w:pPr>
            <w:r w:rsidRPr="0040227A">
              <w:rPr>
                <w:rFonts w:hint="eastAsia"/>
                <w:color w:val="000000"/>
                <w:sz w:val="20"/>
                <w:szCs w:val="20"/>
              </w:rPr>
              <w:t xml:space="preserve">1.2635 </w:t>
            </w:r>
          </w:p>
        </w:tc>
      </w:tr>
    </w:tbl>
    <w:p w:rsidR="00A3488C" w:rsidRDefault="00CC3AEB" w:rsidP="00894321">
      <w:pPr>
        <w:spacing w:line="360" w:lineRule="auto"/>
        <w:ind w:firstLineChars="200" w:firstLine="360"/>
        <w:rPr>
          <w:sz w:val="18"/>
          <w:szCs w:val="18"/>
        </w:rPr>
      </w:pPr>
      <w:r w:rsidRPr="00CC3AEB">
        <w:rPr>
          <w:rFonts w:hint="eastAsia"/>
          <w:sz w:val="18"/>
          <w:szCs w:val="18"/>
        </w:rPr>
        <w:t>注：泰达中证</w:t>
      </w:r>
      <w:r w:rsidRPr="00CC3AEB">
        <w:rPr>
          <w:sz w:val="18"/>
          <w:szCs w:val="18"/>
        </w:rPr>
        <w:t>500</w:t>
      </w:r>
      <w:r w:rsidRPr="00CC3AEB">
        <w:rPr>
          <w:rFonts w:hint="eastAsia"/>
          <w:sz w:val="18"/>
          <w:szCs w:val="18"/>
        </w:rPr>
        <w:t>场外份额经份额折算后产生新增泰达中证</w:t>
      </w:r>
      <w:r w:rsidRPr="00CC3AEB">
        <w:rPr>
          <w:sz w:val="18"/>
          <w:szCs w:val="18"/>
        </w:rPr>
        <w:t>500</w:t>
      </w:r>
      <w:r w:rsidRPr="00CC3AEB">
        <w:rPr>
          <w:rFonts w:hint="eastAsia"/>
          <w:sz w:val="18"/>
          <w:szCs w:val="18"/>
        </w:rPr>
        <w:t>的场外份额；泰达中证</w:t>
      </w:r>
      <w:r w:rsidRPr="00CC3AEB">
        <w:rPr>
          <w:sz w:val="18"/>
          <w:szCs w:val="18"/>
        </w:rPr>
        <w:t>500</w:t>
      </w:r>
      <w:r w:rsidRPr="00CC3AEB">
        <w:rPr>
          <w:rFonts w:hint="eastAsia"/>
          <w:sz w:val="18"/>
          <w:szCs w:val="18"/>
        </w:rPr>
        <w:t>场内份额经份额折算后产生新增的泰达中证</w:t>
      </w:r>
      <w:r w:rsidRPr="00CC3AEB">
        <w:rPr>
          <w:sz w:val="18"/>
          <w:szCs w:val="18"/>
        </w:rPr>
        <w:t>500</w:t>
      </w:r>
      <w:r w:rsidRPr="00CC3AEB">
        <w:rPr>
          <w:rFonts w:hint="eastAsia"/>
          <w:sz w:val="18"/>
          <w:szCs w:val="18"/>
        </w:rPr>
        <w:t>场内份额；泰达</w:t>
      </w:r>
      <w:r w:rsidR="00836632">
        <w:rPr>
          <w:rFonts w:hint="eastAsia"/>
          <w:sz w:val="18"/>
          <w:szCs w:val="18"/>
        </w:rPr>
        <w:t>500A</w:t>
      </w:r>
      <w:r w:rsidRPr="00CC3AEB">
        <w:rPr>
          <w:rFonts w:hint="eastAsia"/>
          <w:sz w:val="18"/>
          <w:szCs w:val="18"/>
        </w:rPr>
        <w:t>份额经份额折算后产生新增的泰达中证</w:t>
      </w:r>
      <w:r w:rsidRPr="00CC3AEB">
        <w:rPr>
          <w:sz w:val="18"/>
          <w:szCs w:val="18"/>
        </w:rPr>
        <w:t>500</w:t>
      </w:r>
      <w:r w:rsidRPr="00CC3AEB">
        <w:rPr>
          <w:rFonts w:hint="eastAsia"/>
          <w:sz w:val="18"/>
          <w:szCs w:val="18"/>
        </w:rPr>
        <w:t>场内份额。</w:t>
      </w:r>
      <w:r w:rsidRPr="00CC3AEB">
        <w:rPr>
          <w:sz w:val="18"/>
          <w:szCs w:val="18"/>
        </w:rPr>
        <w:t xml:space="preserve"> </w:t>
      </w:r>
    </w:p>
    <w:p w:rsidR="00AC3112" w:rsidRDefault="00AC3112" w:rsidP="00AC3112">
      <w:pPr>
        <w:spacing w:line="360" w:lineRule="auto"/>
        <w:ind w:firstLineChars="200" w:firstLine="460"/>
        <w:rPr>
          <w:sz w:val="23"/>
          <w:szCs w:val="23"/>
        </w:rPr>
      </w:pPr>
      <w:r>
        <w:rPr>
          <w:rFonts w:hint="eastAsia"/>
          <w:sz w:val="23"/>
          <w:szCs w:val="23"/>
        </w:rPr>
        <w:t>以上数据已经本基金的基金托管人中国银行股份有限公司确认。投资者自公告之日起可查询经注册登记人及本公司确认的折算后份额。</w:t>
      </w:r>
    </w:p>
    <w:p w:rsidR="00D25E21" w:rsidRPr="00D25E21" w:rsidRDefault="00D25E21" w:rsidP="00D25E21">
      <w:pPr>
        <w:autoSpaceDE w:val="0"/>
        <w:autoSpaceDN w:val="0"/>
        <w:adjustRightInd w:val="0"/>
        <w:jc w:val="left"/>
        <w:rPr>
          <w:rFonts w:ascii="宋体" w:eastAsia="宋体" w:cs="宋体"/>
          <w:color w:val="000000"/>
          <w:kern w:val="0"/>
          <w:sz w:val="24"/>
          <w:szCs w:val="24"/>
        </w:rPr>
      </w:pPr>
    </w:p>
    <w:p w:rsidR="00D25E21" w:rsidRPr="00D25E21" w:rsidRDefault="00D25E21" w:rsidP="00F463D5">
      <w:pPr>
        <w:pStyle w:val="Default"/>
        <w:spacing w:beforeLines="50" w:afterLines="50" w:line="360" w:lineRule="auto"/>
        <w:rPr>
          <w:sz w:val="23"/>
          <w:szCs w:val="23"/>
        </w:rPr>
      </w:pPr>
      <w:r w:rsidRPr="00D25E21">
        <w:rPr>
          <w:sz w:val="23"/>
          <w:szCs w:val="23"/>
        </w:rPr>
        <w:t xml:space="preserve"> </w:t>
      </w:r>
      <w:r w:rsidRPr="00D25E21">
        <w:rPr>
          <w:rFonts w:hint="eastAsia"/>
          <w:sz w:val="23"/>
          <w:szCs w:val="23"/>
        </w:rPr>
        <w:t>二、恢复交易</w:t>
      </w:r>
      <w:r w:rsidRPr="00D25E21">
        <w:rPr>
          <w:sz w:val="23"/>
          <w:szCs w:val="23"/>
        </w:rPr>
        <w:t xml:space="preserve"> </w:t>
      </w:r>
    </w:p>
    <w:p w:rsidR="00094321" w:rsidRDefault="00D25E21" w:rsidP="00094321">
      <w:pPr>
        <w:pStyle w:val="Default"/>
        <w:spacing w:line="360" w:lineRule="auto"/>
        <w:ind w:firstLine="480"/>
        <w:rPr>
          <w:sz w:val="23"/>
          <w:szCs w:val="23"/>
        </w:rPr>
      </w:pPr>
      <w:r w:rsidRPr="00D25E21">
        <w:rPr>
          <w:rFonts w:hint="eastAsia"/>
          <w:sz w:val="23"/>
          <w:szCs w:val="23"/>
        </w:rPr>
        <w:t>自</w:t>
      </w:r>
      <w:r w:rsidR="00BB6887">
        <w:rPr>
          <w:sz w:val="23"/>
          <w:szCs w:val="23"/>
        </w:rPr>
        <w:t>201</w:t>
      </w:r>
      <w:r w:rsidR="00836632">
        <w:rPr>
          <w:rFonts w:hint="eastAsia"/>
          <w:sz w:val="23"/>
          <w:szCs w:val="23"/>
        </w:rPr>
        <w:t>6</w:t>
      </w:r>
      <w:r w:rsidRPr="00D25E21">
        <w:rPr>
          <w:rFonts w:hint="eastAsia"/>
          <w:sz w:val="23"/>
          <w:szCs w:val="23"/>
        </w:rPr>
        <w:t>年</w:t>
      </w:r>
      <w:r w:rsidRPr="00D25E21">
        <w:rPr>
          <w:sz w:val="23"/>
          <w:szCs w:val="23"/>
        </w:rPr>
        <w:t>1</w:t>
      </w:r>
      <w:r w:rsidRPr="00D25E21">
        <w:rPr>
          <w:rFonts w:hint="eastAsia"/>
          <w:sz w:val="23"/>
          <w:szCs w:val="23"/>
        </w:rPr>
        <w:t>月</w:t>
      </w:r>
      <w:r w:rsidR="00836632">
        <w:rPr>
          <w:rFonts w:hint="eastAsia"/>
          <w:sz w:val="23"/>
          <w:szCs w:val="23"/>
        </w:rPr>
        <w:t>6</w:t>
      </w:r>
      <w:r w:rsidRPr="00D25E21">
        <w:rPr>
          <w:rFonts w:hint="eastAsia"/>
          <w:sz w:val="23"/>
          <w:szCs w:val="23"/>
        </w:rPr>
        <w:t>日起，本基金恢复申购、赎回、转托管（包括场外转托管和跨系统转托管）和配对转换业务，</w:t>
      </w:r>
      <w:r w:rsidR="00BB6887">
        <w:rPr>
          <w:rFonts w:hint="eastAsia"/>
          <w:sz w:val="23"/>
          <w:szCs w:val="23"/>
        </w:rPr>
        <w:t>泰达</w:t>
      </w:r>
      <w:r w:rsidR="00836632">
        <w:rPr>
          <w:rFonts w:hint="eastAsia"/>
          <w:sz w:val="23"/>
          <w:szCs w:val="23"/>
        </w:rPr>
        <w:t>500A</w:t>
      </w:r>
      <w:r w:rsidR="0051530D">
        <w:rPr>
          <w:rFonts w:hint="eastAsia"/>
          <w:sz w:val="23"/>
          <w:szCs w:val="23"/>
        </w:rPr>
        <w:t>于</w:t>
      </w:r>
      <w:r w:rsidR="00F94303">
        <w:rPr>
          <w:rFonts w:hint="eastAsia"/>
          <w:sz w:val="23"/>
          <w:szCs w:val="23"/>
        </w:rPr>
        <w:t>2016年1月6日10：30</w:t>
      </w:r>
      <w:r w:rsidRPr="00D25E21">
        <w:rPr>
          <w:rFonts w:hint="eastAsia"/>
          <w:sz w:val="23"/>
          <w:szCs w:val="23"/>
        </w:rPr>
        <w:t>在深圳证券交易所复牌。</w:t>
      </w:r>
      <w:r w:rsidR="00B15B1E" w:rsidRPr="00044646">
        <w:rPr>
          <w:rFonts w:hint="eastAsia"/>
          <w:sz w:val="23"/>
          <w:szCs w:val="23"/>
        </w:rPr>
        <w:t>根据深圳证券交易所《</w:t>
      </w:r>
      <w:r w:rsidR="00133660" w:rsidRPr="00133660">
        <w:rPr>
          <w:rFonts w:hint="eastAsia"/>
          <w:sz w:val="23"/>
          <w:szCs w:val="23"/>
        </w:rPr>
        <w:t>深圳证券交易所证券投资基金交易和申购赎回实施细则</w:t>
      </w:r>
      <w:r w:rsidR="00B15B1E" w:rsidRPr="00044646">
        <w:rPr>
          <w:rFonts w:hint="eastAsia"/>
          <w:sz w:val="23"/>
          <w:szCs w:val="23"/>
        </w:rPr>
        <w:t>》，</w:t>
      </w:r>
      <w:r w:rsidR="00B15B1E" w:rsidRPr="00044646">
        <w:rPr>
          <w:sz w:val="23"/>
          <w:szCs w:val="23"/>
        </w:rPr>
        <w:t>201</w:t>
      </w:r>
      <w:r w:rsidR="00836632">
        <w:rPr>
          <w:rFonts w:hint="eastAsia"/>
          <w:sz w:val="23"/>
          <w:szCs w:val="23"/>
        </w:rPr>
        <w:t>6</w:t>
      </w:r>
      <w:r w:rsidR="00B15B1E" w:rsidRPr="00044646">
        <w:rPr>
          <w:rFonts w:hint="eastAsia"/>
          <w:sz w:val="23"/>
          <w:szCs w:val="23"/>
        </w:rPr>
        <w:t>年</w:t>
      </w:r>
      <w:r w:rsidR="00B15B1E" w:rsidRPr="00044646">
        <w:rPr>
          <w:sz w:val="23"/>
          <w:szCs w:val="23"/>
        </w:rPr>
        <w:t>1</w:t>
      </w:r>
      <w:r w:rsidR="00B15B1E" w:rsidRPr="00044646">
        <w:rPr>
          <w:rFonts w:hint="eastAsia"/>
          <w:sz w:val="23"/>
          <w:szCs w:val="23"/>
        </w:rPr>
        <w:t>月</w:t>
      </w:r>
      <w:r w:rsidR="00836632">
        <w:rPr>
          <w:rFonts w:hint="eastAsia"/>
          <w:sz w:val="23"/>
          <w:szCs w:val="23"/>
        </w:rPr>
        <w:t>6</w:t>
      </w:r>
      <w:r w:rsidR="00B15B1E" w:rsidRPr="00044646">
        <w:rPr>
          <w:rFonts w:hint="eastAsia"/>
          <w:sz w:val="23"/>
          <w:szCs w:val="23"/>
        </w:rPr>
        <w:t>日泰达</w:t>
      </w:r>
      <w:r w:rsidR="00836632">
        <w:rPr>
          <w:rFonts w:hint="eastAsia"/>
          <w:sz w:val="23"/>
          <w:szCs w:val="23"/>
        </w:rPr>
        <w:t>500A</w:t>
      </w:r>
      <w:r w:rsidR="00B15B1E" w:rsidRPr="00044646">
        <w:rPr>
          <w:rFonts w:hint="eastAsia"/>
          <w:sz w:val="23"/>
          <w:szCs w:val="23"/>
        </w:rPr>
        <w:t>即时行情显示的前收盘价为</w:t>
      </w:r>
      <w:r w:rsidR="00B15B1E" w:rsidRPr="00044646">
        <w:rPr>
          <w:sz w:val="23"/>
          <w:szCs w:val="23"/>
        </w:rPr>
        <w:t>201</w:t>
      </w:r>
      <w:r w:rsidR="00836632">
        <w:rPr>
          <w:rFonts w:hint="eastAsia"/>
          <w:sz w:val="23"/>
          <w:szCs w:val="23"/>
        </w:rPr>
        <w:t>6</w:t>
      </w:r>
      <w:r w:rsidR="00B15B1E" w:rsidRPr="00044646">
        <w:rPr>
          <w:rFonts w:hint="eastAsia"/>
          <w:sz w:val="23"/>
          <w:szCs w:val="23"/>
        </w:rPr>
        <w:t>年</w:t>
      </w:r>
      <w:r w:rsidR="00B15B1E" w:rsidRPr="00044646">
        <w:rPr>
          <w:sz w:val="23"/>
          <w:szCs w:val="23"/>
        </w:rPr>
        <w:t>1</w:t>
      </w:r>
      <w:r w:rsidR="00B15B1E" w:rsidRPr="00044646">
        <w:rPr>
          <w:rFonts w:hint="eastAsia"/>
          <w:sz w:val="23"/>
          <w:szCs w:val="23"/>
        </w:rPr>
        <w:t>月</w:t>
      </w:r>
      <w:r w:rsidR="00836632">
        <w:rPr>
          <w:rFonts w:hint="eastAsia"/>
          <w:sz w:val="23"/>
          <w:szCs w:val="23"/>
        </w:rPr>
        <w:t>5</w:t>
      </w:r>
      <w:r w:rsidR="00B15B1E" w:rsidRPr="00044646">
        <w:rPr>
          <w:rFonts w:hint="eastAsia"/>
          <w:sz w:val="23"/>
          <w:szCs w:val="23"/>
        </w:rPr>
        <w:t>日的泰达</w:t>
      </w:r>
      <w:r w:rsidR="00836632">
        <w:rPr>
          <w:rFonts w:hint="eastAsia"/>
          <w:sz w:val="23"/>
          <w:szCs w:val="23"/>
        </w:rPr>
        <w:t>500A</w:t>
      </w:r>
      <w:r w:rsidR="00B15B1E" w:rsidRPr="00044646">
        <w:rPr>
          <w:rFonts w:hint="eastAsia"/>
          <w:sz w:val="23"/>
          <w:szCs w:val="23"/>
        </w:rPr>
        <w:t>的份额</w:t>
      </w:r>
      <w:r w:rsidR="00B15B1E" w:rsidRPr="00044646">
        <w:rPr>
          <w:rFonts w:hint="eastAsia"/>
          <w:sz w:val="23"/>
          <w:szCs w:val="23"/>
        </w:rPr>
        <w:lastRenderedPageBreak/>
        <w:t>净值（四舍五入至</w:t>
      </w:r>
      <w:r w:rsidR="00B15B1E" w:rsidRPr="00044646">
        <w:rPr>
          <w:sz w:val="23"/>
          <w:szCs w:val="23"/>
        </w:rPr>
        <w:t>0.001</w:t>
      </w:r>
      <w:r w:rsidR="00B15B1E" w:rsidRPr="00044646">
        <w:rPr>
          <w:rFonts w:hint="eastAsia"/>
          <w:sz w:val="23"/>
          <w:szCs w:val="23"/>
        </w:rPr>
        <w:t>元）</w:t>
      </w:r>
      <w:r w:rsidR="00B15B1E" w:rsidRPr="00D25E21">
        <w:rPr>
          <w:rFonts w:hint="eastAsia"/>
          <w:sz w:val="23"/>
          <w:szCs w:val="23"/>
        </w:rPr>
        <w:t>，</w:t>
      </w:r>
      <w:r w:rsidR="00C309C3" w:rsidRPr="002E0F57">
        <w:rPr>
          <w:rFonts w:hint="eastAsia"/>
          <w:sz w:val="23"/>
          <w:szCs w:val="23"/>
        </w:rPr>
        <w:t>即</w:t>
      </w:r>
      <w:r w:rsidR="00133660">
        <w:rPr>
          <w:rFonts w:hint="eastAsia"/>
          <w:sz w:val="23"/>
          <w:szCs w:val="23"/>
        </w:rPr>
        <w:t>1.001</w:t>
      </w:r>
      <w:r w:rsidR="00C309C3" w:rsidRPr="002E0F57">
        <w:rPr>
          <w:rFonts w:hint="eastAsia"/>
          <w:sz w:val="23"/>
          <w:szCs w:val="23"/>
        </w:rPr>
        <w:t>元</w:t>
      </w:r>
      <w:r w:rsidR="00C309C3">
        <w:rPr>
          <w:rFonts w:hint="eastAsia"/>
          <w:sz w:val="23"/>
          <w:szCs w:val="23"/>
        </w:rPr>
        <w:t>。</w:t>
      </w:r>
      <w:r w:rsidR="00094321" w:rsidRPr="00EC2A5B">
        <w:rPr>
          <w:rFonts w:hint="eastAsia"/>
          <w:sz w:val="23"/>
          <w:szCs w:val="23"/>
        </w:rPr>
        <w:t>由于泰达</w:t>
      </w:r>
      <w:r w:rsidR="00836632">
        <w:rPr>
          <w:rFonts w:hint="eastAsia"/>
          <w:sz w:val="23"/>
          <w:szCs w:val="23"/>
        </w:rPr>
        <w:t>500A</w:t>
      </w:r>
      <w:r w:rsidR="00094321" w:rsidRPr="00EC2A5B">
        <w:rPr>
          <w:rFonts w:hint="eastAsia"/>
          <w:sz w:val="23"/>
          <w:szCs w:val="23"/>
        </w:rPr>
        <w:t>份额折算前存在</w:t>
      </w:r>
      <w:r w:rsidR="00BD2DDA" w:rsidRPr="0040227A">
        <w:rPr>
          <w:rFonts w:hint="eastAsia"/>
          <w:sz w:val="23"/>
          <w:szCs w:val="23"/>
        </w:rPr>
        <w:t>折价</w:t>
      </w:r>
      <w:r w:rsidR="00094321" w:rsidRPr="00EC2A5B">
        <w:rPr>
          <w:rFonts w:hint="eastAsia"/>
          <w:sz w:val="23"/>
          <w:szCs w:val="23"/>
        </w:rPr>
        <w:t>交易情形，</w:t>
      </w:r>
      <w:r w:rsidR="00094321" w:rsidRPr="00EC2A5B">
        <w:rPr>
          <w:sz w:val="23"/>
          <w:szCs w:val="23"/>
        </w:rPr>
        <w:t>201</w:t>
      </w:r>
      <w:r w:rsidR="00836632">
        <w:rPr>
          <w:rFonts w:hint="eastAsia"/>
          <w:sz w:val="23"/>
          <w:szCs w:val="23"/>
        </w:rPr>
        <w:t>6</w:t>
      </w:r>
      <w:r w:rsidR="00094321" w:rsidRPr="00EC2A5B">
        <w:rPr>
          <w:sz w:val="23"/>
          <w:szCs w:val="23"/>
        </w:rPr>
        <w:t>年1月</w:t>
      </w:r>
      <w:r w:rsidR="00836632">
        <w:rPr>
          <w:rFonts w:hint="eastAsia"/>
          <w:sz w:val="23"/>
          <w:szCs w:val="23"/>
        </w:rPr>
        <w:t>4</w:t>
      </w:r>
      <w:r w:rsidR="00094321" w:rsidRPr="00EC2A5B">
        <w:rPr>
          <w:sz w:val="23"/>
          <w:szCs w:val="23"/>
        </w:rPr>
        <w:t>日</w:t>
      </w:r>
      <w:r w:rsidR="00094321" w:rsidRPr="00EC2A5B">
        <w:rPr>
          <w:rFonts w:hint="eastAsia"/>
          <w:sz w:val="23"/>
          <w:szCs w:val="23"/>
        </w:rPr>
        <w:t>收盘价为</w:t>
      </w:r>
      <w:r w:rsidR="00593DB1" w:rsidRPr="00593DB1">
        <w:rPr>
          <w:rFonts w:hint="eastAsia"/>
          <w:sz w:val="23"/>
          <w:szCs w:val="23"/>
        </w:rPr>
        <w:t>1.013</w:t>
      </w:r>
      <w:r w:rsidR="00094321" w:rsidRPr="00EC2A5B">
        <w:rPr>
          <w:rFonts w:hint="eastAsia"/>
          <w:sz w:val="23"/>
          <w:szCs w:val="23"/>
        </w:rPr>
        <w:t>元，扣除</w:t>
      </w:r>
      <w:r w:rsidR="00094321" w:rsidRPr="00EC2A5B">
        <w:rPr>
          <w:sz w:val="23"/>
          <w:szCs w:val="23"/>
        </w:rPr>
        <w:t>201</w:t>
      </w:r>
      <w:r w:rsidR="00836632">
        <w:rPr>
          <w:rFonts w:hint="eastAsia"/>
          <w:sz w:val="23"/>
          <w:szCs w:val="23"/>
        </w:rPr>
        <w:t>5</w:t>
      </w:r>
      <w:r w:rsidR="00094321" w:rsidRPr="00EC2A5B">
        <w:rPr>
          <w:rFonts w:hint="eastAsia"/>
          <w:sz w:val="23"/>
          <w:szCs w:val="23"/>
        </w:rPr>
        <w:t>年约定收益后为</w:t>
      </w:r>
      <w:r w:rsidR="00EF05C8" w:rsidRPr="00593DB1">
        <w:rPr>
          <w:rFonts w:hint="eastAsia"/>
          <w:sz w:val="23"/>
          <w:szCs w:val="23"/>
        </w:rPr>
        <w:t>0.9</w:t>
      </w:r>
      <w:r w:rsidR="00593DB1" w:rsidRPr="00593DB1">
        <w:rPr>
          <w:rFonts w:hint="eastAsia"/>
          <w:sz w:val="23"/>
          <w:szCs w:val="23"/>
        </w:rPr>
        <w:t>71</w:t>
      </w:r>
      <w:r w:rsidR="00094321" w:rsidRPr="00EC2A5B">
        <w:rPr>
          <w:rFonts w:hint="eastAsia"/>
          <w:sz w:val="23"/>
          <w:szCs w:val="23"/>
        </w:rPr>
        <w:t>元，</w:t>
      </w:r>
      <w:r w:rsidR="00094321">
        <w:rPr>
          <w:rFonts w:hint="eastAsia"/>
          <w:sz w:val="23"/>
          <w:szCs w:val="23"/>
        </w:rPr>
        <w:t>与泰达</w:t>
      </w:r>
      <w:r w:rsidR="00836632">
        <w:rPr>
          <w:rFonts w:hint="eastAsia"/>
          <w:sz w:val="23"/>
          <w:szCs w:val="23"/>
        </w:rPr>
        <w:t>500A</w:t>
      </w:r>
      <w:r w:rsidR="00094321">
        <w:rPr>
          <w:sz w:val="23"/>
          <w:szCs w:val="23"/>
        </w:rPr>
        <w:t>201</w:t>
      </w:r>
      <w:r w:rsidR="00836632">
        <w:rPr>
          <w:rFonts w:hint="eastAsia"/>
          <w:sz w:val="23"/>
          <w:szCs w:val="23"/>
        </w:rPr>
        <w:t>6</w:t>
      </w:r>
      <w:r w:rsidR="00094321">
        <w:rPr>
          <w:sz w:val="23"/>
          <w:szCs w:val="23"/>
        </w:rPr>
        <w:t>年1月</w:t>
      </w:r>
      <w:r w:rsidR="00836632">
        <w:rPr>
          <w:rFonts w:hint="eastAsia"/>
          <w:sz w:val="23"/>
          <w:szCs w:val="23"/>
        </w:rPr>
        <w:t>6</w:t>
      </w:r>
      <w:r w:rsidR="00094321">
        <w:rPr>
          <w:sz w:val="23"/>
          <w:szCs w:val="23"/>
        </w:rPr>
        <w:t>日</w:t>
      </w:r>
      <w:r w:rsidR="00094321">
        <w:rPr>
          <w:rFonts w:hint="eastAsia"/>
          <w:sz w:val="23"/>
          <w:szCs w:val="23"/>
        </w:rPr>
        <w:t>前收盘价存在较大差异，因此当日可能出现交易价格大幅波动的情形。</w:t>
      </w:r>
      <w:r w:rsidR="00094321" w:rsidRPr="002E0F57">
        <w:rPr>
          <w:rFonts w:hint="eastAsia"/>
          <w:sz w:val="23"/>
          <w:szCs w:val="23"/>
        </w:rPr>
        <w:t>敬请投资者注意投资风险。</w:t>
      </w:r>
    </w:p>
    <w:p w:rsidR="00C309C3" w:rsidRPr="00094321" w:rsidRDefault="00C309C3" w:rsidP="00C309C3">
      <w:pPr>
        <w:pStyle w:val="Default"/>
        <w:spacing w:line="360" w:lineRule="auto"/>
        <w:ind w:firstLine="480"/>
        <w:rPr>
          <w:sz w:val="23"/>
          <w:szCs w:val="23"/>
        </w:rPr>
      </w:pPr>
    </w:p>
    <w:p w:rsidR="00A3488C" w:rsidRDefault="00A3488C">
      <w:pPr>
        <w:pStyle w:val="Default"/>
        <w:spacing w:line="360" w:lineRule="auto"/>
        <w:ind w:firstLine="480"/>
        <w:rPr>
          <w:sz w:val="23"/>
          <w:szCs w:val="23"/>
        </w:rPr>
      </w:pPr>
    </w:p>
    <w:p w:rsidR="00D25E21" w:rsidRDefault="00D25E21" w:rsidP="00894321">
      <w:pPr>
        <w:spacing w:line="360" w:lineRule="auto"/>
        <w:rPr>
          <w:sz w:val="23"/>
          <w:szCs w:val="23"/>
        </w:rPr>
      </w:pPr>
    </w:p>
    <w:p w:rsidR="00AC3112" w:rsidRDefault="00D25E21" w:rsidP="00D25E21">
      <w:pPr>
        <w:spacing w:line="360" w:lineRule="auto"/>
        <w:ind w:firstLineChars="200" w:firstLine="460"/>
        <w:rPr>
          <w:sz w:val="23"/>
          <w:szCs w:val="23"/>
        </w:rPr>
      </w:pPr>
      <w:r w:rsidRPr="00D25E21">
        <w:rPr>
          <w:rFonts w:hint="eastAsia"/>
          <w:sz w:val="23"/>
          <w:szCs w:val="23"/>
        </w:rPr>
        <w:t>特此公告。</w:t>
      </w:r>
    </w:p>
    <w:p w:rsidR="00AC3112" w:rsidRDefault="00AC3112" w:rsidP="00AC3112">
      <w:pPr>
        <w:spacing w:line="360" w:lineRule="auto"/>
        <w:ind w:firstLineChars="200" w:firstLine="460"/>
        <w:rPr>
          <w:sz w:val="23"/>
          <w:szCs w:val="23"/>
        </w:rPr>
      </w:pPr>
    </w:p>
    <w:p w:rsidR="00AC3112" w:rsidRDefault="00AC3112" w:rsidP="00AC3112">
      <w:pPr>
        <w:spacing w:line="360" w:lineRule="auto"/>
        <w:ind w:firstLineChars="200" w:firstLine="460"/>
        <w:rPr>
          <w:sz w:val="23"/>
          <w:szCs w:val="23"/>
        </w:rPr>
      </w:pPr>
      <w:r>
        <w:rPr>
          <w:rFonts w:hint="eastAsia"/>
          <w:sz w:val="23"/>
          <w:szCs w:val="23"/>
        </w:rPr>
        <w:t xml:space="preserve">                                   </w:t>
      </w:r>
      <w:r w:rsidR="00D25E21">
        <w:rPr>
          <w:rFonts w:hint="eastAsia"/>
          <w:sz w:val="23"/>
          <w:szCs w:val="23"/>
        </w:rPr>
        <w:t xml:space="preserve">     </w:t>
      </w:r>
      <w:r>
        <w:rPr>
          <w:rFonts w:hint="eastAsia"/>
          <w:sz w:val="23"/>
          <w:szCs w:val="23"/>
        </w:rPr>
        <w:t xml:space="preserve">  </w:t>
      </w:r>
      <w:r>
        <w:rPr>
          <w:rFonts w:hint="eastAsia"/>
          <w:sz w:val="23"/>
          <w:szCs w:val="23"/>
        </w:rPr>
        <w:t>泰达宏利基金管理有限公司</w:t>
      </w:r>
    </w:p>
    <w:p w:rsidR="00AC3112" w:rsidRPr="00AC3112" w:rsidRDefault="00AC3112" w:rsidP="00AC3112">
      <w:pPr>
        <w:spacing w:line="360" w:lineRule="auto"/>
        <w:ind w:firstLineChars="200" w:firstLine="460"/>
        <w:rPr>
          <w:sz w:val="23"/>
          <w:szCs w:val="23"/>
        </w:rPr>
      </w:pPr>
      <w:r>
        <w:rPr>
          <w:rFonts w:hint="eastAsia"/>
          <w:sz w:val="23"/>
          <w:szCs w:val="23"/>
        </w:rPr>
        <w:t xml:space="preserve">                                              </w:t>
      </w:r>
      <w:r w:rsidR="00D25E21">
        <w:rPr>
          <w:rFonts w:hint="eastAsia"/>
          <w:sz w:val="23"/>
          <w:szCs w:val="23"/>
        </w:rPr>
        <w:t xml:space="preserve">    </w:t>
      </w:r>
      <w:r>
        <w:rPr>
          <w:rFonts w:hint="eastAsia"/>
          <w:sz w:val="23"/>
          <w:szCs w:val="23"/>
        </w:rPr>
        <w:t xml:space="preserve"> 201</w:t>
      </w:r>
      <w:r w:rsidR="00836632">
        <w:rPr>
          <w:rFonts w:hint="eastAsia"/>
          <w:sz w:val="23"/>
          <w:szCs w:val="23"/>
        </w:rPr>
        <w:t>6</w:t>
      </w:r>
      <w:r>
        <w:rPr>
          <w:rFonts w:hint="eastAsia"/>
          <w:sz w:val="23"/>
          <w:szCs w:val="23"/>
        </w:rPr>
        <w:t>年</w:t>
      </w:r>
      <w:r>
        <w:rPr>
          <w:rFonts w:hint="eastAsia"/>
          <w:sz w:val="23"/>
          <w:szCs w:val="23"/>
        </w:rPr>
        <w:t>1</w:t>
      </w:r>
      <w:r>
        <w:rPr>
          <w:rFonts w:hint="eastAsia"/>
          <w:sz w:val="23"/>
          <w:szCs w:val="23"/>
        </w:rPr>
        <w:t>月</w:t>
      </w:r>
      <w:r w:rsidR="00836632">
        <w:rPr>
          <w:rFonts w:hint="eastAsia"/>
          <w:sz w:val="23"/>
          <w:szCs w:val="23"/>
        </w:rPr>
        <w:t>6</w:t>
      </w:r>
      <w:r>
        <w:rPr>
          <w:rFonts w:hint="eastAsia"/>
          <w:sz w:val="23"/>
          <w:szCs w:val="23"/>
        </w:rPr>
        <w:t>日</w:t>
      </w:r>
    </w:p>
    <w:sectPr w:rsidR="00AC3112" w:rsidRPr="00AC3112" w:rsidSect="00DA64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5D5" w:rsidRDefault="00A765D5" w:rsidP="00AC3112">
      <w:r>
        <w:separator/>
      </w:r>
    </w:p>
  </w:endnote>
  <w:endnote w:type="continuationSeparator" w:id="0">
    <w:p w:rsidR="00A765D5" w:rsidRDefault="00A765D5" w:rsidP="00AC31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ì."/>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5D5" w:rsidRDefault="00A765D5" w:rsidP="00AC3112">
      <w:r>
        <w:separator/>
      </w:r>
    </w:p>
  </w:footnote>
  <w:footnote w:type="continuationSeparator" w:id="0">
    <w:p w:rsidR="00A765D5" w:rsidRDefault="00A765D5" w:rsidP="00AC31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3112"/>
    <w:rsid w:val="00007C66"/>
    <w:rsid w:val="0002278A"/>
    <w:rsid w:val="000247BD"/>
    <w:rsid w:val="00030EA2"/>
    <w:rsid w:val="00044634"/>
    <w:rsid w:val="00094321"/>
    <w:rsid w:val="00097BD9"/>
    <w:rsid w:val="000A0AB8"/>
    <w:rsid w:val="000A2B73"/>
    <w:rsid w:val="000B62F4"/>
    <w:rsid w:val="00105689"/>
    <w:rsid w:val="00122AA0"/>
    <w:rsid w:val="00133660"/>
    <w:rsid w:val="001745A5"/>
    <w:rsid w:val="001B3ACF"/>
    <w:rsid w:val="001E46E9"/>
    <w:rsid w:val="003147C7"/>
    <w:rsid w:val="00360C28"/>
    <w:rsid w:val="00395478"/>
    <w:rsid w:val="003B27F4"/>
    <w:rsid w:val="003B4FEC"/>
    <w:rsid w:val="0040227A"/>
    <w:rsid w:val="0040616D"/>
    <w:rsid w:val="004332AF"/>
    <w:rsid w:val="00484C2E"/>
    <w:rsid w:val="00491F27"/>
    <w:rsid w:val="004D451A"/>
    <w:rsid w:val="004F3E56"/>
    <w:rsid w:val="00504B1B"/>
    <w:rsid w:val="00505FD9"/>
    <w:rsid w:val="00512B63"/>
    <w:rsid w:val="0051530D"/>
    <w:rsid w:val="0052301E"/>
    <w:rsid w:val="00534C95"/>
    <w:rsid w:val="00551F9D"/>
    <w:rsid w:val="00593DB1"/>
    <w:rsid w:val="005B581F"/>
    <w:rsid w:val="005E1F2F"/>
    <w:rsid w:val="005F7714"/>
    <w:rsid w:val="00617E88"/>
    <w:rsid w:val="00646456"/>
    <w:rsid w:val="00683B3A"/>
    <w:rsid w:val="006C1C7C"/>
    <w:rsid w:val="00717804"/>
    <w:rsid w:val="00734D83"/>
    <w:rsid w:val="00736BCB"/>
    <w:rsid w:val="00754890"/>
    <w:rsid w:val="007678FD"/>
    <w:rsid w:val="007A4744"/>
    <w:rsid w:val="007B4AB4"/>
    <w:rsid w:val="007C2FAD"/>
    <w:rsid w:val="007E6419"/>
    <w:rsid w:val="0080126F"/>
    <w:rsid w:val="0083219C"/>
    <w:rsid w:val="00836632"/>
    <w:rsid w:val="00866A5F"/>
    <w:rsid w:val="00875BAF"/>
    <w:rsid w:val="00894321"/>
    <w:rsid w:val="00910AD5"/>
    <w:rsid w:val="00917907"/>
    <w:rsid w:val="0092095C"/>
    <w:rsid w:val="00961A16"/>
    <w:rsid w:val="00980EA3"/>
    <w:rsid w:val="009831BE"/>
    <w:rsid w:val="00984F1C"/>
    <w:rsid w:val="009B083A"/>
    <w:rsid w:val="009B602A"/>
    <w:rsid w:val="009C6A82"/>
    <w:rsid w:val="009F7643"/>
    <w:rsid w:val="00A30D27"/>
    <w:rsid w:val="00A3488C"/>
    <w:rsid w:val="00A42C1C"/>
    <w:rsid w:val="00A521FA"/>
    <w:rsid w:val="00A765D5"/>
    <w:rsid w:val="00A86D80"/>
    <w:rsid w:val="00AC3112"/>
    <w:rsid w:val="00B15B1E"/>
    <w:rsid w:val="00B516F2"/>
    <w:rsid w:val="00B5752A"/>
    <w:rsid w:val="00BB6887"/>
    <w:rsid w:val="00BC4BD0"/>
    <w:rsid w:val="00BC6A9B"/>
    <w:rsid w:val="00BD2DDA"/>
    <w:rsid w:val="00BF2DB4"/>
    <w:rsid w:val="00C309C3"/>
    <w:rsid w:val="00C630BA"/>
    <w:rsid w:val="00CC3AEB"/>
    <w:rsid w:val="00CE6FD9"/>
    <w:rsid w:val="00D02387"/>
    <w:rsid w:val="00D25E21"/>
    <w:rsid w:val="00D90AEC"/>
    <w:rsid w:val="00D90F79"/>
    <w:rsid w:val="00D95B6D"/>
    <w:rsid w:val="00DA4EC8"/>
    <w:rsid w:val="00DA6417"/>
    <w:rsid w:val="00DC5B73"/>
    <w:rsid w:val="00DD07F8"/>
    <w:rsid w:val="00DD4D76"/>
    <w:rsid w:val="00DD6EA8"/>
    <w:rsid w:val="00E0467B"/>
    <w:rsid w:val="00E409FE"/>
    <w:rsid w:val="00E57562"/>
    <w:rsid w:val="00E76639"/>
    <w:rsid w:val="00EB79DB"/>
    <w:rsid w:val="00EC29D5"/>
    <w:rsid w:val="00EC2A5B"/>
    <w:rsid w:val="00EF05C8"/>
    <w:rsid w:val="00F01A58"/>
    <w:rsid w:val="00F147A2"/>
    <w:rsid w:val="00F33004"/>
    <w:rsid w:val="00F463D5"/>
    <w:rsid w:val="00F94303"/>
    <w:rsid w:val="00FA10F7"/>
    <w:rsid w:val="00FC2E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4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31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3112"/>
    <w:rPr>
      <w:sz w:val="18"/>
      <w:szCs w:val="18"/>
    </w:rPr>
  </w:style>
  <w:style w:type="paragraph" w:styleId="a4">
    <w:name w:val="footer"/>
    <w:basedOn w:val="a"/>
    <w:link w:val="Char0"/>
    <w:uiPriority w:val="99"/>
    <w:semiHidden/>
    <w:unhideWhenUsed/>
    <w:rsid w:val="00AC311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C3112"/>
    <w:rPr>
      <w:sz w:val="18"/>
      <w:szCs w:val="18"/>
    </w:rPr>
  </w:style>
  <w:style w:type="paragraph" w:customStyle="1" w:styleId="Default">
    <w:name w:val="Default"/>
    <w:rsid w:val="00AC3112"/>
    <w:pPr>
      <w:widowControl w:val="0"/>
      <w:autoSpaceDE w:val="0"/>
      <w:autoSpaceDN w:val="0"/>
      <w:adjustRightInd w:val="0"/>
    </w:pPr>
    <w:rPr>
      <w:rFonts w:ascii="宋体" w:eastAsia="宋体" w:cs="宋体"/>
      <w:color w:val="000000"/>
      <w:kern w:val="0"/>
      <w:sz w:val="24"/>
      <w:szCs w:val="24"/>
    </w:rPr>
  </w:style>
  <w:style w:type="paragraph" w:customStyle="1" w:styleId="Default1">
    <w:name w:val="Default1"/>
    <w:basedOn w:val="Default"/>
    <w:next w:val="Default"/>
    <w:uiPriority w:val="99"/>
    <w:rsid w:val="00AC3112"/>
    <w:rPr>
      <w:rFonts w:cstheme="minorBidi"/>
      <w:color w:val="auto"/>
    </w:rPr>
  </w:style>
  <w:style w:type="paragraph" w:styleId="a5">
    <w:name w:val="Balloon Text"/>
    <w:basedOn w:val="a"/>
    <w:link w:val="Char1"/>
    <w:uiPriority w:val="99"/>
    <w:semiHidden/>
    <w:unhideWhenUsed/>
    <w:rsid w:val="005F7714"/>
    <w:rPr>
      <w:sz w:val="18"/>
      <w:szCs w:val="18"/>
    </w:rPr>
  </w:style>
  <w:style w:type="character" w:customStyle="1" w:styleId="Char1">
    <w:name w:val="批注框文本 Char"/>
    <w:basedOn w:val="a0"/>
    <w:link w:val="a5"/>
    <w:uiPriority w:val="99"/>
    <w:semiHidden/>
    <w:rsid w:val="005F7714"/>
    <w:rPr>
      <w:sz w:val="18"/>
      <w:szCs w:val="18"/>
    </w:rPr>
  </w:style>
</w:styles>
</file>

<file path=word/webSettings.xml><?xml version="1.0" encoding="utf-8"?>
<w:webSettings xmlns:r="http://schemas.openxmlformats.org/officeDocument/2006/relationships" xmlns:w="http://schemas.openxmlformats.org/wordprocessingml/2006/main">
  <w:divs>
    <w:div w:id="160002901">
      <w:bodyDiv w:val="1"/>
      <w:marLeft w:val="0"/>
      <w:marRight w:val="0"/>
      <w:marTop w:val="0"/>
      <w:marBottom w:val="0"/>
      <w:divBdr>
        <w:top w:val="none" w:sz="0" w:space="0" w:color="auto"/>
        <w:left w:val="none" w:sz="0" w:space="0" w:color="auto"/>
        <w:bottom w:val="none" w:sz="0" w:space="0" w:color="auto"/>
        <w:right w:val="none" w:sz="0" w:space="0" w:color="auto"/>
      </w:divBdr>
    </w:div>
    <w:div w:id="190388354">
      <w:bodyDiv w:val="1"/>
      <w:marLeft w:val="0"/>
      <w:marRight w:val="0"/>
      <w:marTop w:val="0"/>
      <w:marBottom w:val="0"/>
      <w:divBdr>
        <w:top w:val="none" w:sz="0" w:space="0" w:color="auto"/>
        <w:left w:val="none" w:sz="0" w:space="0" w:color="auto"/>
        <w:bottom w:val="none" w:sz="0" w:space="0" w:color="auto"/>
        <w:right w:val="none" w:sz="0" w:space="0" w:color="auto"/>
      </w:divBdr>
    </w:div>
    <w:div w:id="273829273">
      <w:bodyDiv w:val="1"/>
      <w:marLeft w:val="0"/>
      <w:marRight w:val="0"/>
      <w:marTop w:val="0"/>
      <w:marBottom w:val="0"/>
      <w:divBdr>
        <w:top w:val="none" w:sz="0" w:space="0" w:color="auto"/>
        <w:left w:val="none" w:sz="0" w:space="0" w:color="auto"/>
        <w:bottom w:val="none" w:sz="0" w:space="0" w:color="auto"/>
        <w:right w:val="none" w:sz="0" w:space="0" w:color="auto"/>
      </w:divBdr>
    </w:div>
    <w:div w:id="444078735">
      <w:bodyDiv w:val="1"/>
      <w:marLeft w:val="0"/>
      <w:marRight w:val="0"/>
      <w:marTop w:val="0"/>
      <w:marBottom w:val="0"/>
      <w:divBdr>
        <w:top w:val="none" w:sz="0" w:space="0" w:color="auto"/>
        <w:left w:val="none" w:sz="0" w:space="0" w:color="auto"/>
        <w:bottom w:val="none" w:sz="0" w:space="0" w:color="auto"/>
        <w:right w:val="none" w:sz="0" w:space="0" w:color="auto"/>
      </w:divBdr>
    </w:div>
    <w:div w:id="447965374">
      <w:bodyDiv w:val="1"/>
      <w:marLeft w:val="0"/>
      <w:marRight w:val="0"/>
      <w:marTop w:val="0"/>
      <w:marBottom w:val="0"/>
      <w:divBdr>
        <w:top w:val="none" w:sz="0" w:space="0" w:color="auto"/>
        <w:left w:val="none" w:sz="0" w:space="0" w:color="auto"/>
        <w:bottom w:val="none" w:sz="0" w:space="0" w:color="auto"/>
        <w:right w:val="none" w:sz="0" w:space="0" w:color="auto"/>
      </w:divBdr>
    </w:div>
    <w:div w:id="514226770">
      <w:bodyDiv w:val="1"/>
      <w:marLeft w:val="0"/>
      <w:marRight w:val="0"/>
      <w:marTop w:val="0"/>
      <w:marBottom w:val="0"/>
      <w:divBdr>
        <w:top w:val="none" w:sz="0" w:space="0" w:color="auto"/>
        <w:left w:val="none" w:sz="0" w:space="0" w:color="auto"/>
        <w:bottom w:val="none" w:sz="0" w:space="0" w:color="auto"/>
        <w:right w:val="none" w:sz="0" w:space="0" w:color="auto"/>
      </w:divBdr>
    </w:div>
    <w:div w:id="528493671">
      <w:bodyDiv w:val="1"/>
      <w:marLeft w:val="0"/>
      <w:marRight w:val="0"/>
      <w:marTop w:val="0"/>
      <w:marBottom w:val="0"/>
      <w:divBdr>
        <w:top w:val="none" w:sz="0" w:space="0" w:color="auto"/>
        <w:left w:val="none" w:sz="0" w:space="0" w:color="auto"/>
        <w:bottom w:val="none" w:sz="0" w:space="0" w:color="auto"/>
        <w:right w:val="none" w:sz="0" w:space="0" w:color="auto"/>
      </w:divBdr>
    </w:div>
    <w:div w:id="833910525">
      <w:bodyDiv w:val="1"/>
      <w:marLeft w:val="0"/>
      <w:marRight w:val="0"/>
      <w:marTop w:val="0"/>
      <w:marBottom w:val="0"/>
      <w:divBdr>
        <w:top w:val="none" w:sz="0" w:space="0" w:color="auto"/>
        <w:left w:val="none" w:sz="0" w:space="0" w:color="auto"/>
        <w:bottom w:val="none" w:sz="0" w:space="0" w:color="auto"/>
        <w:right w:val="none" w:sz="0" w:space="0" w:color="auto"/>
      </w:divBdr>
    </w:div>
    <w:div w:id="921721115">
      <w:bodyDiv w:val="1"/>
      <w:marLeft w:val="0"/>
      <w:marRight w:val="0"/>
      <w:marTop w:val="0"/>
      <w:marBottom w:val="0"/>
      <w:divBdr>
        <w:top w:val="none" w:sz="0" w:space="0" w:color="auto"/>
        <w:left w:val="none" w:sz="0" w:space="0" w:color="auto"/>
        <w:bottom w:val="none" w:sz="0" w:space="0" w:color="auto"/>
        <w:right w:val="none" w:sz="0" w:space="0" w:color="auto"/>
      </w:divBdr>
    </w:div>
    <w:div w:id="1005011217">
      <w:bodyDiv w:val="1"/>
      <w:marLeft w:val="0"/>
      <w:marRight w:val="0"/>
      <w:marTop w:val="0"/>
      <w:marBottom w:val="0"/>
      <w:divBdr>
        <w:top w:val="none" w:sz="0" w:space="0" w:color="auto"/>
        <w:left w:val="none" w:sz="0" w:space="0" w:color="auto"/>
        <w:bottom w:val="none" w:sz="0" w:space="0" w:color="auto"/>
        <w:right w:val="none" w:sz="0" w:space="0" w:color="auto"/>
      </w:divBdr>
    </w:div>
    <w:div w:id="1229262829">
      <w:bodyDiv w:val="1"/>
      <w:marLeft w:val="0"/>
      <w:marRight w:val="0"/>
      <w:marTop w:val="0"/>
      <w:marBottom w:val="0"/>
      <w:divBdr>
        <w:top w:val="none" w:sz="0" w:space="0" w:color="auto"/>
        <w:left w:val="none" w:sz="0" w:space="0" w:color="auto"/>
        <w:bottom w:val="none" w:sz="0" w:space="0" w:color="auto"/>
        <w:right w:val="none" w:sz="0" w:space="0" w:color="auto"/>
      </w:divBdr>
    </w:div>
    <w:div w:id="1250501244">
      <w:bodyDiv w:val="1"/>
      <w:marLeft w:val="0"/>
      <w:marRight w:val="0"/>
      <w:marTop w:val="0"/>
      <w:marBottom w:val="0"/>
      <w:divBdr>
        <w:top w:val="none" w:sz="0" w:space="0" w:color="auto"/>
        <w:left w:val="none" w:sz="0" w:space="0" w:color="auto"/>
        <w:bottom w:val="none" w:sz="0" w:space="0" w:color="auto"/>
        <w:right w:val="none" w:sz="0" w:space="0" w:color="auto"/>
      </w:divBdr>
    </w:div>
    <w:div w:id="1288662751">
      <w:bodyDiv w:val="1"/>
      <w:marLeft w:val="0"/>
      <w:marRight w:val="0"/>
      <w:marTop w:val="0"/>
      <w:marBottom w:val="0"/>
      <w:divBdr>
        <w:top w:val="none" w:sz="0" w:space="0" w:color="auto"/>
        <w:left w:val="none" w:sz="0" w:space="0" w:color="auto"/>
        <w:bottom w:val="none" w:sz="0" w:space="0" w:color="auto"/>
        <w:right w:val="none" w:sz="0" w:space="0" w:color="auto"/>
      </w:divBdr>
    </w:div>
    <w:div w:id="1340964359">
      <w:bodyDiv w:val="1"/>
      <w:marLeft w:val="0"/>
      <w:marRight w:val="0"/>
      <w:marTop w:val="0"/>
      <w:marBottom w:val="0"/>
      <w:divBdr>
        <w:top w:val="none" w:sz="0" w:space="0" w:color="auto"/>
        <w:left w:val="none" w:sz="0" w:space="0" w:color="auto"/>
        <w:bottom w:val="none" w:sz="0" w:space="0" w:color="auto"/>
        <w:right w:val="none" w:sz="0" w:space="0" w:color="auto"/>
      </w:divBdr>
    </w:div>
    <w:div w:id="1473597142">
      <w:bodyDiv w:val="1"/>
      <w:marLeft w:val="0"/>
      <w:marRight w:val="0"/>
      <w:marTop w:val="0"/>
      <w:marBottom w:val="0"/>
      <w:divBdr>
        <w:top w:val="none" w:sz="0" w:space="0" w:color="auto"/>
        <w:left w:val="none" w:sz="0" w:space="0" w:color="auto"/>
        <w:bottom w:val="none" w:sz="0" w:space="0" w:color="auto"/>
        <w:right w:val="none" w:sz="0" w:space="0" w:color="auto"/>
      </w:divBdr>
    </w:div>
    <w:div w:id="1709716635">
      <w:bodyDiv w:val="1"/>
      <w:marLeft w:val="0"/>
      <w:marRight w:val="0"/>
      <w:marTop w:val="0"/>
      <w:marBottom w:val="0"/>
      <w:divBdr>
        <w:top w:val="none" w:sz="0" w:space="0" w:color="auto"/>
        <w:left w:val="none" w:sz="0" w:space="0" w:color="auto"/>
        <w:bottom w:val="none" w:sz="0" w:space="0" w:color="auto"/>
        <w:right w:val="none" w:sz="0" w:space="0" w:color="auto"/>
      </w:divBdr>
    </w:div>
    <w:div w:id="1794789239">
      <w:bodyDiv w:val="1"/>
      <w:marLeft w:val="0"/>
      <w:marRight w:val="0"/>
      <w:marTop w:val="0"/>
      <w:marBottom w:val="0"/>
      <w:divBdr>
        <w:top w:val="none" w:sz="0" w:space="0" w:color="auto"/>
        <w:left w:val="none" w:sz="0" w:space="0" w:color="auto"/>
        <w:bottom w:val="none" w:sz="0" w:space="0" w:color="auto"/>
        <w:right w:val="none" w:sz="0" w:space="0" w:color="auto"/>
      </w:divBdr>
    </w:div>
    <w:div w:id="1802110409">
      <w:bodyDiv w:val="1"/>
      <w:marLeft w:val="0"/>
      <w:marRight w:val="0"/>
      <w:marTop w:val="0"/>
      <w:marBottom w:val="0"/>
      <w:divBdr>
        <w:top w:val="none" w:sz="0" w:space="0" w:color="auto"/>
        <w:left w:val="none" w:sz="0" w:space="0" w:color="auto"/>
        <w:bottom w:val="none" w:sz="0" w:space="0" w:color="auto"/>
        <w:right w:val="none" w:sz="0" w:space="0" w:color="auto"/>
      </w:divBdr>
    </w:div>
    <w:div w:id="1854687294">
      <w:bodyDiv w:val="1"/>
      <w:marLeft w:val="0"/>
      <w:marRight w:val="0"/>
      <w:marTop w:val="0"/>
      <w:marBottom w:val="0"/>
      <w:divBdr>
        <w:top w:val="none" w:sz="0" w:space="0" w:color="auto"/>
        <w:left w:val="none" w:sz="0" w:space="0" w:color="auto"/>
        <w:bottom w:val="none" w:sz="0" w:space="0" w:color="auto"/>
        <w:right w:val="none" w:sz="0" w:space="0" w:color="auto"/>
      </w:divBdr>
    </w:div>
    <w:div w:id="1918975355">
      <w:bodyDiv w:val="1"/>
      <w:marLeft w:val="0"/>
      <w:marRight w:val="0"/>
      <w:marTop w:val="0"/>
      <w:marBottom w:val="0"/>
      <w:divBdr>
        <w:top w:val="none" w:sz="0" w:space="0" w:color="auto"/>
        <w:left w:val="none" w:sz="0" w:space="0" w:color="auto"/>
        <w:bottom w:val="none" w:sz="0" w:space="0" w:color="auto"/>
        <w:right w:val="none" w:sz="0" w:space="0" w:color="auto"/>
      </w:divBdr>
    </w:div>
    <w:div w:id="211814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fengwei</dc:creator>
  <cp:lastModifiedBy>zhaoqingling</cp:lastModifiedBy>
  <cp:revision>14</cp:revision>
  <cp:lastPrinted>2015-01-05T11:26:00Z</cp:lastPrinted>
  <dcterms:created xsi:type="dcterms:W3CDTF">2014-12-26T09:26:00Z</dcterms:created>
  <dcterms:modified xsi:type="dcterms:W3CDTF">2016-01-05T11:00:00Z</dcterms:modified>
</cp:coreProperties>
</file>