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F94" w:rsidRDefault="00116F94" w:rsidP="00116F94">
      <w:pPr>
        <w:jc w:val="center"/>
        <w:rPr>
          <w:b/>
        </w:rPr>
      </w:pPr>
      <w:r>
        <w:rPr>
          <w:rFonts w:hint="eastAsia"/>
          <w:b/>
        </w:rPr>
        <w:t>海富通基金管理有限公司</w:t>
      </w:r>
    </w:p>
    <w:p w:rsidR="00116F94" w:rsidRDefault="00116F94" w:rsidP="00116F94">
      <w:pPr>
        <w:jc w:val="center"/>
        <w:rPr>
          <w:b/>
        </w:rPr>
      </w:pPr>
      <w:r>
        <w:rPr>
          <w:rFonts w:hint="eastAsia"/>
          <w:b/>
        </w:rPr>
        <w:t>关于旗下基金在指数熔断期间调整开放时间的公告</w:t>
      </w:r>
    </w:p>
    <w:p w:rsidR="00116F94" w:rsidRDefault="00116F94" w:rsidP="00116F94"/>
    <w:p w:rsidR="00116F94" w:rsidRDefault="00116F94" w:rsidP="00116F94">
      <w:pPr>
        <w:widowControl w:val="0"/>
        <w:spacing w:line="360" w:lineRule="auto"/>
        <w:ind w:firstLine="420"/>
        <w:jc w:val="both"/>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依据上海证券交易所、深圳证券交易所、中国金融期货交易所关于指数熔断的相关规则、中国证券投资基金业协会《关于指数熔断机制实施后公募基金行业相关配套工作安排的通知》及相关基金基金合同等的规定，自</w:t>
      </w:r>
      <w:r>
        <w:rPr>
          <w:rFonts w:asciiTheme="minorHAnsi" w:eastAsiaTheme="minorEastAsia" w:hAnsiTheme="minorHAnsi" w:cstheme="minorBidi"/>
          <w:kern w:val="2"/>
          <w:sz w:val="21"/>
          <w:szCs w:val="22"/>
        </w:rPr>
        <w:t>2016</w:t>
      </w:r>
      <w:r>
        <w:rPr>
          <w:rFonts w:asciiTheme="minorHAnsi" w:eastAsiaTheme="minorEastAsia" w:hAnsiTheme="minorHAnsi" w:cstheme="minorBidi" w:hint="eastAsia"/>
          <w:kern w:val="2"/>
          <w:sz w:val="21"/>
          <w:szCs w:val="22"/>
        </w:rPr>
        <w:t>年</w:t>
      </w:r>
      <w:r>
        <w:rPr>
          <w:rFonts w:asciiTheme="minorHAnsi" w:eastAsiaTheme="minorEastAsia" w:hAnsiTheme="minorHAnsi" w:cstheme="minorBidi"/>
          <w:kern w:val="2"/>
          <w:sz w:val="21"/>
          <w:szCs w:val="22"/>
        </w:rPr>
        <w:t>1</w:t>
      </w:r>
      <w:r>
        <w:rPr>
          <w:rFonts w:asciiTheme="minorHAnsi" w:eastAsiaTheme="minorEastAsia" w:hAnsiTheme="minorHAnsi" w:cstheme="minorBidi" w:hint="eastAsia"/>
          <w:kern w:val="2"/>
          <w:sz w:val="21"/>
          <w:szCs w:val="22"/>
        </w:rPr>
        <w:t>月</w:t>
      </w:r>
      <w:r>
        <w:rPr>
          <w:rFonts w:asciiTheme="minorHAnsi" w:eastAsiaTheme="minorEastAsia" w:hAnsiTheme="minorHAnsi" w:cstheme="minorBidi"/>
          <w:kern w:val="2"/>
          <w:sz w:val="21"/>
          <w:szCs w:val="22"/>
        </w:rPr>
        <w:t>1</w:t>
      </w:r>
      <w:r>
        <w:rPr>
          <w:rFonts w:asciiTheme="minorHAnsi" w:eastAsiaTheme="minorEastAsia" w:hAnsiTheme="minorHAnsi" w:cstheme="minorBidi" w:hint="eastAsia"/>
          <w:kern w:val="2"/>
          <w:sz w:val="21"/>
          <w:szCs w:val="22"/>
        </w:rPr>
        <w:t>日起，海富通基金管理有限公司（以下简称“我司”或“本公司”）将在指数熔断实施期间调整旗下部分基金的开放时间。现将相关情况公告如下：</w:t>
      </w:r>
    </w:p>
    <w:p w:rsidR="00E5014A" w:rsidRPr="00E5014A" w:rsidRDefault="00E5014A" w:rsidP="00E5014A">
      <w:pPr>
        <w:widowControl w:val="0"/>
        <w:spacing w:line="360" w:lineRule="auto"/>
        <w:ind w:firstLine="420"/>
        <w:jc w:val="both"/>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1</w:t>
      </w:r>
      <w:r>
        <w:rPr>
          <w:rFonts w:asciiTheme="minorHAnsi" w:eastAsiaTheme="minorEastAsia" w:hAnsiTheme="minorHAnsi" w:cstheme="minorBidi" w:hint="eastAsia"/>
          <w:kern w:val="2"/>
          <w:sz w:val="21"/>
          <w:szCs w:val="22"/>
        </w:rPr>
        <w:t>、</w:t>
      </w:r>
      <w:r w:rsidRPr="00E5014A">
        <w:rPr>
          <w:rFonts w:asciiTheme="minorHAnsi" w:eastAsiaTheme="minorEastAsia" w:hAnsiTheme="minorHAnsi" w:cstheme="minorBidi" w:hint="eastAsia"/>
          <w:kern w:val="2"/>
          <w:sz w:val="21"/>
          <w:szCs w:val="22"/>
        </w:rPr>
        <w:t>发生指数熔断时，所有基金的认购、设置分红方式业务的办理时间均不进行调整。当发生指数熔断且上海证券交易所、深圳证券交易所当日</w:t>
      </w:r>
      <w:r>
        <w:rPr>
          <w:rFonts w:asciiTheme="minorHAnsi" w:eastAsiaTheme="minorEastAsia" w:hAnsiTheme="minorHAnsi" w:cstheme="minorBidi" w:hint="eastAsia"/>
          <w:kern w:val="2"/>
          <w:sz w:val="21"/>
          <w:szCs w:val="22"/>
        </w:rPr>
        <w:t>15:00</w:t>
      </w:r>
      <w:r>
        <w:rPr>
          <w:rFonts w:asciiTheme="minorHAnsi" w:eastAsiaTheme="minorEastAsia" w:hAnsiTheme="minorHAnsi" w:cstheme="minorBidi" w:hint="eastAsia"/>
          <w:kern w:val="2"/>
          <w:sz w:val="21"/>
          <w:szCs w:val="22"/>
        </w:rPr>
        <w:t>前</w:t>
      </w:r>
      <w:r w:rsidRPr="00E5014A">
        <w:rPr>
          <w:rFonts w:asciiTheme="minorHAnsi" w:eastAsiaTheme="minorEastAsia" w:hAnsiTheme="minorHAnsi" w:cstheme="minorBidi" w:hint="eastAsia"/>
          <w:kern w:val="2"/>
          <w:sz w:val="21"/>
          <w:szCs w:val="22"/>
        </w:rPr>
        <w:t>均恢复交易的，我司旗下所有公募基金的开放申购、赎回等业务办理时间均不进行调整。</w:t>
      </w:r>
    </w:p>
    <w:p w:rsidR="00116F94" w:rsidRDefault="00E5014A" w:rsidP="00116F94">
      <w:pPr>
        <w:widowControl w:val="0"/>
        <w:spacing w:line="360" w:lineRule="auto"/>
        <w:ind w:firstLine="420"/>
        <w:jc w:val="both"/>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2</w:t>
      </w:r>
      <w:r w:rsidR="00116F94">
        <w:rPr>
          <w:rFonts w:asciiTheme="minorHAnsi" w:eastAsiaTheme="minorEastAsia" w:hAnsiTheme="minorHAnsi" w:cstheme="minorBidi" w:hint="eastAsia"/>
          <w:kern w:val="2"/>
          <w:sz w:val="21"/>
          <w:szCs w:val="22"/>
        </w:rPr>
        <w:t>、当</w:t>
      </w:r>
      <w:r w:rsidR="00D934BB">
        <w:rPr>
          <w:rFonts w:asciiTheme="minorHAnsi" w:eastAsiaTheme="minorEastAsia" w:hAnsiTheme="minorHAnsi" w:cstheme="minorBidi" w:hint="eastAsia"/>
          <w:kern w:val="2"/>
          <w:sz w:val="21"/>
          <w:szCs w:val="22"/>
        </w:rPr>
        <w:t>发生</w:t>
      </w:r>
      <w:r w:rsidR="00116F94">
        <w:rPr>
          <w:rFonts w:asciiTheme="minorHAnsi" w:eastAsiaTheme="minorEastAsia" w:hAnsiTheme="minorHAnsi" w:cstheme="minorBidi" w:hint="eastAsia"/>
          <w:kern w:val="2"/>
          <w:sz w:val="21"/>
          <w:szCs w:val="22"/>
        </w:rPr>
        <w:t>指数熔断</w:t>
      </w:r>
      <w:r w:rsidR="00D934BB">
        <w:rPr>
          <w:rFonts w:asciiTheme="minorHAnsi" w:eastAsiaTheme="minorEastAsia" w:hAnsiTheme="minorHAnsi" w:cstheme="minorBidi" w:hint="eastAsia"/>
          <w:kern w:val="2"/>
          <w:sz w:val="21"/>
          <w:szCs w:val="22"/>
        </w:rPr>
        <w:t>，当日不再恢复交易</w:t>
      </w:r>
      <w:r w:rsidR="00116F94">
        <w:rPr>
          <w:rFonts w:asciiTheme="minorHAnsi" w:eastAsiaTheme="minorEastAsia" w:hAnsiTheme="minorHAnsi" w:cstheme="minorBidi" w:hint="eastAsia"/>
          <w:kern w:val="2"/>
          <w:sz w:val="21"/>
          <w:szCs w:val="22"/>
        </w:rPr>
        <w:t>时，相关类别的基金（以下简称“相关基金”）将开放时间调整为当日上海证券交易所、深圳证券交易所的正常交易时间（即</w:t>
      </w:r>
      <w:r w:rsidR="00DE1982">
        <w:rPr>
          <w:rFonts w:asciiTheme="minorHAnsi" w:eastAsiaTheme="minorEastAsia" w:hAnsiTheme="minorHAnsi" w:cstheme="minorBidi" w:hint="eastAsia"/>
          <w:kern w:val="2"/>
          <w:sz w:val="21"/>
          <w:szCs w:val="22"/>
        </w:rPr>
        <w:t>当日最后一次</w:t>
      </w:r>
      <w:r w:rsidR="00116F94">
        <w:rPr>
          <w:rFonts w:asciiTheme="minorHAnsi" w:eastAsiaTheme="minorEastAsia" w:hAnsiTheme="minorHAnsi" w:cstheme="minorBidi" w:hint="eastAsia"/>
          <w:kern w:val="2"/>
          <w:sz w:val="21"/>
          <w:szCs w:val="22"/>
        </w:rPr>
        <w:t>熔断前的交易时间）</w:t>
      </w:r>
      <w:r>
        <w:rPr>
          <w:rFonts w:asciiTheme="minorHAnsi" w:eastAsiaTheme="minorEastAsia" w:hAnsiTheme="minorHAnsi" w:cstheme="minorBidi" w:hint="eastAsia"/>
          <w:kern w:val="2"/>
          <w:sz w:val="21"/>
          <w:szCs w:val="22"/>
        </w:rPr>
        <w:t>，</w:t>
      </w:r>
      <w:r w:rsidRPr="00E5014A">
        <w:rPr>
          <w:rFonts w:asciiTheme="minorHAnsi" w:eastAsiaTheme="minorEastAsia" w:hAnsiTheme="minorHAnsi" w:cstheme="minorBidi" w:hint="eastAsia"/>
          <w:kern w:val="2"/>
          <w:sz w:val="21"/>
          <w:szCs w:val="22"/>
        </w:rPr>
        <w:t>即对当日交易所最后一次指数熔断时起至</w:t>
      </w:r>
      <w:r w:rsidRPr="00E5014A">
        <w:rPr>
          <w:rFonts w:asciiTheme="minorHAnsi" w:eastAsiaTheme="minorEastAsia" w:hAnsiTheme="minorHAnsi" w:cstheme="minorBidi"/>
          <w:kern w:val="2"/>
          <w:sz w:val="21"/>
          <w:szCs w:val="22"/>
        </w:rPr>
        <w:t>15:00</w:t>
      </w:r>
      <w:r>
        <w:rPr>
          <w:rFonts w:asciiTheme="minorHAnsi" w:eastAsiaTheme="minorEastAsia" w:hAnsiTheme="minorHAnsi" w:cstheme="minorBidi"/>
          <w:kern w:val="2"/>
          <w:sz w:val="21"/>
          <w:szCs w:val="22"/>
        </w:rPr>
        <w:t>间提交的申购、赎回</w:t>
      </w:r>
      <w:r w:rsidR="00F70202">
        <w:rPr>
          <w:rFonts w:asciiTheme="minorHAnsi" w:eastAsiaTheme="minorEastAsia" w:hAnsiTheme="minorHAnsi" w:cstheme="minorBidi" w:hint="eastAsia"/>
          <w:kern w:val="2"/>
          <w:sz w:val="21"/>
          <w:szCs w:val="22"/>
        </w:rPr>
        <w:t>、基金转换、定投</w:t>
      </w:r>
      <w:r w:rsidRPr="00E5014A">
        <w:rPr>
          <w:rFonts w:asciiTheme="minorHAnsi" w:eastAsiaTheme="minorEastAsia" w:hAnsiTheme="minorHAnsi" w:cstheme="minorBidi"/>
          <w:kern w:val="2"/>
          <w:sz w:val="21"/>
          <w:szCs w:val="22"/>
        </w:rPr>
        <w:t>等业务申请，将无法按照当日申</w:t>
      </w:r>
      <w:r>
        <w:rPr>
          <w:rFonts w:asciiTheme="minorHAnsi" w:eastAsiaTheme="minorEastAsia" w:hAnsiTheme="minorHAnsi" w:cstheme="minorBidi"/>
          <w:kern w:val="2"/>
          <w:sz w:val="21"/>
          <w:szCs w:val="22"/>
        </w:rPr>
        <w:t>购、赎回、基金转换及定投等业务申请进行处理，原则上将按下一个</w:t>
      </w:r>
      <w:r>
        <w:rPr>
          <w:rFonts w:asciiTheme="minorHAnsi" w:eastAsiaTheme="minorEastAsia" w:hAnsiTheme="minorHAnsi" w:cstheme="minorBidi" w:hint="eastAsia"/>
          <w:kern w:val="2"/>
          <w:sz w:val="21"/>
          <w:szCs w:val="22"/>
        </w:rPr>
        <w:t>交易</w:t>
      </w:r>
      <w:r>
        <w:rPr>
          <w:rFonts w:asciiTheme="minorHAnsi" w:eastAsiaTheme="minorEastAsia" w:hAnsiTheme="minorHAnsi" w:cstheme="minorBidi"/>
          <w:kern w:val="2"/>
          <w:sz w:val="21"/>
          <w:szCs w:val="22"/>
        </w:rPr>
        <w:t>日的申请处理</w:t>
      </w:r>
      <w:r w:rsidR="00F70202">
        <w:rPr>
          <w:rFonts w:asciiTheme="minorHAnsi" w:eastAsiaTheme="minorEastAsia" w:hAnsiTheme="minorHAnsi" w:cstheme="minorBidi" w:hint="eastAsia"/>
          <w:kern w:val="2"/>
          <w:sz w:val="21"/>
          <w:szCs w:val="22"/>
        </w:rPr>
        <w:t>。特别的，当开盘集合竞价阶段发生指数熔断且当日不再恢复交易时，当日相关基金的申购、赎回、转换及定投等业务申请</w:t>
      </w:r>
      <w:r w:rsidR="00D26F49">
        <w:rPr>
          <w:rFonts w:asciiTheme="minorHAnsi" w:eastAsiaTheme="minorEastAsia" w:hAnsiTheme="minorHAnsi" w:cstheme="minorBidi" w:hint="eastAsia"/>
          <w:kern w:val="2"/>
          <w:sz w:val="21"/>
          <w:szCs w:val="22"/>
        </w:rPr>
        <w:t>原则上都</w:t>
      </w:r>
      <w:r w:rsidR="00F70202">
        <w:rPr>
          <w:rFonts w:asciiTheme="minorHAnsi" w:eastAsiaTheme="minorEastAsia" w:hAnsiTheme="minorHAnsi" w:cstheme="minorBidi" w:hint="eastAsia"/>
          <w:kern w:val="2"/>
          <w:sz w:val="21"/>
          <w:szCs w:val="22"/>
        </w:rPr>
        <w:t>将按下一交易日的申请处理。</w:t>
      </w:r>
      <w:r w:rsidRPr="00E5014A">
        <w:rPr>
          <w:rFonts w:asciiTheme="minorHAnsi" w:eastAsiaTheme="minorEastAsia" w:hAnsiTheme="minorHAnsi" w:cstheme="minorBidi"/>
          <w:kern w:val="2"/>
          <w:sz w:val="21"/>
          <w:szCs w:val="22"/>
        </w:rPr>
        <w:t>相关基金的基金合同另有约定的除外</w:t>
      </w:r>
      <w:r>
        <w:rPr>
          <w:rFonts w:asciiTheme="minorHAnsi" w:eastAsiaTheme="minorEastAsia" w:hAnsiTheme="minorHAnsi" w:cstheme="minorBidi" w:hint="eastAsia"/>
          <w:kern w:val="2"/>
          <w:sz w:val="21"/>
          <w:szCs w:val="22"/>
        </w:rPr>
        <w:t>。</w:t>
      </w:r>
      <w:r w:rsidR="00D934BB">
        <w:rPr>
          <w:rFonts w:asciiTheme="minorHAnsi" w:eastAsiaTheme="minorEastAsia" w:hAnsiTheme="minorHAnsi" w:cstheme="minorBidi" w:hint="eastAsia"/>
          <w:kern w:val="2"/>
          <w:sz w:val="21"/>
          <w:szCs w:val="22"/>
        </w:rPr>
        <w:t>证券交易所另有规定的，从其规定。</w:t>
      </w:r>
      <w:r w:rsidR="00116F94">
        <w:rPr>
          <w:rFonts w:asciiTheme="minorHAnsi" w:eastAsiaTheme="minorEastAsia" w:hAnsiTheme="minorHAnsi" w:cstheme="minorBidi" w:hint="eastAsia"/>
          <w:kern w:val="2"/>
          <w:sz w:val="21"/>
          <w:szCs w:val="22"/>
        </w:rPr>
        <w:t>上海、深圳证券交易所收市时间不一致的，相关基金的开放时间调整遵循孰早原则。</w:t>
      </w:r>
    </w:p>
    <w:p w:rsidR="00116F94" w:rsidRDefault="006B4499" w:rsidP="00116F94">
      <w:pPr>
        <w:widowControl w:val="0"/>
        <w:spacing w:line="360" w:lineRule="auto"/>
        <w:ind w:firstLine="420"/>
        <w:jc w:val="both"/>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3</w:t>
      </w:r>
      <w:r w:rsidR="00116F94">
        <w:rPr>
          <w:rFonts w:asciiTheme="minorHAnsi" w:eastAsiaTheme="minorEastAsia" w:hAnsiTheme="minorHAnsi" w:cstheme="minorBidi" w:hint="eastAsia"/>
          <w:kern w:val="2"/>
          <w:sz w:val="21"/>
          <w:szCs w:val="22"/>
        </w:rPr>
        <w:t>、相关基金是指基金合同的投资范围中包括指数熔断品种的开放式基金，但交易型开放式指数基金（“</w:t>
      </w:r>
      <w:r w:rsidR="00116F94">
        <w:rPr>
          <w:rFonts w:asciiTheme="minorHAnsi" w:eastAsiaTheme="minorEastAsia" w:hAnsiTheme="minorHAnsi" w:cstheme="minorBidi"/>
          <w:kern w:val="2"/>
          <w:sz w:val="21"/>
          <w:szCs w:val="22"/>
        </w:rPr>
        <w:t>ETF</w:t>
      </w:r>
      <w:r w:rsidR="00116F94">
        <w:rPr>
          <w:rFonts w:asciiTheme="minorHAnsi" w:eastAsiaTheme="minorEastAsia" w:hAnsiTheme="minorHAnsi" w:cstheme="minorBidi" w:hint="eastAsia"/>
          <w:kern w:val="2"/>
          <w:sz w:val="21"/>
          <w:szCs w:val="22"/>
        </w:rPr>
        <w:t>”）除外。截至本公告日，本公司旗下的相关基金在附件中列示，本公告日后成立的相关基金也将适用开放时间调整，届时不再另行公告，提请投资者注意。</w:t>
      </w:r>
    </w:p>
    <w:p w:rsidR="00116F94" w:rsidRDefault="006B4499" w:rsidP="00E5014A">
      <w:pPr>
        <w:widowControl w:val="0"/>
        <w:spacing w:line="360" w:lineRule="auto"/>
        <w:ind w:firstLine="420"/>
        <w:jc w:val="both"/>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4</w:t>
      </w:r>
      <w:r w:rsidR="00116F94">
        <w:rPr>
          <w:rFonts w:asciiTheme="minorHAnsi" w:eastAsiaTheme="minorEastAsia" w:hAnsiTheme="minorHAnsi" w:cstheme="minorBidi" w:hint="eastAsia"/>
          <w:kern w:val="2"/>
          <w:sz w:val="21"/>
          <w:szCs w:val="22"/>
        </w:rPr>
        <w:t>、当发生指数熔断，</w:t>
      </w:r>
      <w:r w:rsidR="00116F94">
        <w:rPr>
          <w:rFonts w:asciiTheme="minorHAnsi" w:eastAsiaTheme="minorEastAsia" w:hAnsiTheme="minorHAnsi" w:cstheme="minorBidi"/>
          <w:kern w:val="2"/>
          <w:sz w:val="21"/>
          <w:szCs w:val="22"/>
        </w:rPr>
        <w:t>ETF</w:t>
      </w:r>
      <w:r w:rsidR="00116F94">
        <w:rPr>
          <w:rFonts w:asciiTheme="minorHAnsi" w:eastAsiaTheme="minorEastAsia" w:hAnsiTheme="minorHAnsi" w:cstheme="minorBidi" w:hint="eastAsia"/>
          <w:kern w:val="2"/>
          <w:sz w:val="21"/>
          <w:szCs w:val="22"/>
        </w:rPr>
        <w:t>的场内申购、赎回时间和业务办理将按上市交易所在证券交易所的规则执行。</w:t>
      </w:r>
      <w:r w:rsidR="00E5014A" w:rsidRPr="00E5014A">
        <w:rPr>
          <w:rFonts w:asciiTheme="minorHAnsi" w:eastAsiaTheme="minorEastAsia" w:hAnsiTheme="minorHAnsi" w:cstheme="minorBidi" w:hint="eastAsia"/>
          <w:kern w:val="2"/>
          <w:sz w:val="21"/>
          <w:szCs w:val="22"/>
        </w:rPr>
        <w:t>依据目前相关证券交易所的规则，我司旗下</w:t>
      </w:r>
      <w:r w:rsidR="00E5014A" w:rsidRPr="00E5014A">
        <w:rPr>
          <w:rFonts w:asciiTheme="minorHAnsi" w:eastAsiaTheme="minorEastAsia" w:hAnsiTheme="minorHAnsi" w:cstheme="minorBidi"/>
          <w:kern w:val="2"/>
          <w:sz w:val="21"/>
          <w:szCs w:val="22"/>
        </w:rPr>
        <w:t>ETF</w:t>
      </w:r>
      <w:r w:rsidR="00E5014A" w:rsidRPr="00E5014A">
        <w:rPr>
          <w:rFonts w:asciiTheme="minorHAnsi" w:eastAsiaTheme="minorEastAsia" w:hAnsiTheme="minorHAnsi" w:cstheme="minorBidi"/>
          <w:kern w:val="2"/>
          <w:sz w:val="21"/>
          <w:szCs w:val="22"/>
        </w:rPr>
        <w:t>在发生指数熔断时可以正常办理申购赎回等业务</w:t>
      </w:r>
      <w:r w:rsidR="00E5014A">
        <w:rPr>
          <w:rFonts w:asciiTheme="minorHAnsi" w:eastAsiaTheme="minorEastAsia" w:hAnsiTheme="minorHAnsi" w:cstheme="minorBidi"/>
          <w:kern w:val="2"/>
          <w:sz w:val="21"/>
          <w:szCs w:val="22"/>
        </w:rPr>
        <w:t>，基金开放时间不进行调整，具体以相关交易所的公告为准</w:t>
      </w:r>
      <w:r w:rsidR="00E5014A" w:rsidRPr="00E5014A">
        <w:rPr>
          <w:rFonts w:asciiTheme="minorHAnsi" w:eastAsiaTheme="minorEastAsia" w:hAnsiTheme="minorHAnsi" w:cstheme="minorBidi"/>
          <w:kern w:val="2"/>
          <w:sz w:val="21"/>
          <w:szCs w:val="22"/>
        </w:rPr>
        <w:t>。</w:t>
      </w:r>
    </w:p>
    <w:p w:rsidR="00116F94" w:rsidRDefault="006B4499" w:rsidP="00116F94">
      <w:pPr>
        <w:widowControl w:val="0"/>
        <w:spacing w:line="360" w:lineRule="auto"/>
        <w:ind w:firstLine="420"/>
        <w:jc w:val="both"/>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5</w:t>
      </w:r>
      <w:r w:rsidR="00116F94">
        <w:rPr>
          <w:rFonts w:asciiTheme="minorHAnsi" w:eastAsiaTheme="minorEastAsia" w:hAnsiTheme="minorHAnsi" w:cstheme="minorBidi" w:hint="eastAsia"/>
          <w:kern w:val="2"/>
          <w:sz w:val="21"/>
          <w:szCs w:val="22"/>
        </w:rPr>
        <w:t>、对于涉及定期开放的相关基金，</w:t>
      </w:r>
      <w:r w:rsidR="007B6C54">
        <w:rPr>
          <w:rFonts w:asciiTheme="minorHAnsi" w:eastAsiaTheme="minorEastAsia" w:hAnsiTheme="minorHAnsi" w:cstheme="minorBidi" w:hint="eastAsia"/>
          <w:kern w:val="2"/>
          <w:sz w:val="21"/>
          <w:szCs w:val="22"/>
        </w:rPr>
        <w:t>发生指数熔断，当日不再恢复交易时，当日为相关基金定期开放日的最后一日的，基金开放日顺延至下一正常交易日。定期开放基金的</w:t>
      </w:r>
      <w:r w:rsidR="00116F94">
        <w:rPr>
          <w:rFonts w:asciiTheme="minorHAnsi" w:eastAsiaTheme="minorEastAsia" w:hAnsiTheme="minorHAnsi" w:cstheme="minorBidi" w:hint="eastAsia"/>
          <w:kern w:val="2"/>
          <w:sz w:val="21"/>
          <w:szCs w:val="22"/>
        </w:rPr>
        <w:t>开放时间以本基金管理人届时发布的公告为准。</w:t>
      </w:r>
    </w:p>
    <w:p w:rsidR="007B6C54" w:rsidRDefault="007B6C54" w:rsidP="00116F94">
      <w:pPr>
        <w:widowControl w:val="0"/>
        <w:spacing w:line="360" w:lineRule="auto"/>
        <w:ind w:firstLine="420"/>
        <w:jc w:val="both"/>
        <w:rPr>
          <w:rFonts w:asciiTheme="minorHAnsi" w:eastAsiaTheme="minorEastAsia" w:hAnsiTheme="minorHAnsi" w:cstheme="minorBidi"/>
          <w:kern w:val="2"/>
          <w:sz w:val="21"/>
          <w:szCs w:val="22"/>
        </w:rPr>
      </w:pPr>
    </w:p>
    <w:p w:rsidR="00116F94" w:rsidRDefault="00116F94" w:rsidP="00116F94">
      <w:pPr>
        <w:widowControl w:val="0"/>
        <w:spacing w:line="360" w:lineRule="auto"/>
        <w:ind w:firstLine="420"/>
        <w:jc w:val="both"/>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重要提示：</w:t>
      </w:r>
    </w:p>
    <w:p w:rsidR="00116F94" w:rsidRDefault="00116F94" w:rsidP="00116F94">
      <w:pPr>
        <w:widowControl w:val="0"/>
        <w:spacing w:line="360" w:lineRule="auto"/>
        <w:ind w:firstLine="420"/>
        <w:jc w:val="both"/>
        <w:rPr>
          <w:rFonts w:asciiTheme="minorHAnsi" w:eastAsiaTheme="minorEastAsia" w:hAnsiTheme="minorHAnsi" w:cstheme="minorBidi"/>
          <w:kern w:val="2"/>
          <w:sz w:val="21"/>
          <w:szCs w:val="22"/>
        </w:rPr>
      </w:pPr>
      <w:r>
        <w:rPr>
          <w:rFonts w:asciiTheme="minorHAnsi" w:eastAsiaTheme="minorEastAsia" w:hAnsiTheme="minorHAnsi" w:cstheme="minorBidi"/>
          <w:kern w:val="2"/>
          <w:sz w:val="21"/>
          <w:szCs w:val="22"/>
        </w:rPr>
        <w:t>1</w:t>
      </w:r>
      <w:r>
        <w:rPr>
          <w:rFonts w:asciiTheme="minorHAnsi" w:eastAsiaTheme="minorEastAsia" w:hAnsiTheme="minorHAnsi" w:cstheme="minorBidi" w:hint="eastAsia"/>
          <w:kern w:val="2"/>
          <w:sz w:val="21"/>
          <w:szCs w:val="22"/>
        </w:rPr>
        <w:t>、监管机构或行业协会对于指数熔断机制实施后公募基金相关业务处理另有规定的，按照其规定执行。</w:t>
      </w:r>
    </w:p>
    <w:p w:rsidR="00116F94" w:rsidRDefault="00116F94" w:rsidP="00116F94">
      <w:pPr>
        <w:widowControl w:val="0"/>
        <w:spacing w:line="360" w:lineRule="auto"/>
        <w:ind w:firstLine="420"/>
        <w:jc w:val="both"/>
        <w:rPr>
          <w:rFonts w:asciiTheme="minorHAnsi" w:eastAsiaTheme="minorEastAsia" w:hAnsiTheme="minorHAnsi" w:cstheme="minorBidi"/>
          <w:kern w:val="2"/>
          <w:sz w:val="21"/>
          <w:szCs w:val="22"/>
        </w:rPr>
      </w:pPr>
      <w:r>
        <w:rPr>
          <w:rFonts w:asciiTheme="minorHAnsi" w:eastAsiaTheme="minorEastAsia" w:hAnsiTheme="minorHAnsi" w:cstheme="minorBidi"/>
          <w:kern w:val="2"/>
          <w:sz w:val="21"/>
          <w:szCs w:val="22"/>
        </w:rPr>
        <w:t>2</w:t>
      </w:r>
      <w:r>
        <w:rPr>
          <w:rFonts w:asciiTheme="minorHAnsi" w:eastAsiaTheme="minorEastAsia" w:hAnsiTheme="minorHAnsi" w:cstheme="minorBidi" w:hint="eastAsia"/>
          <w:kern w:val="2"/>
          <w:sz w:val="21"/>
          <w:szCs w:val="22"/>
        </w:rPr>
        <w:t>、开放时间调整将影响到相关基金的申购、赎回、转换、定期定额投资计划等业务，可能会导致不可恢复交易的指数熔断期间提交的各项业务失败或延后处理，提请投资者注意，并就相关业务详询基金销售机构。</w:t>
      </w:r>
    </w:p>
    <w:p w:rsidR="00116F94" w:rsidRDefault="00116F94" w:rsidP="00116F94">
      <w:pPr>
        <w:widowControl w:val="0"/>
        <w:spacing w:line="360" w:lineRule="auto"/>
        <w:ind w:firstLine="420"/>
        <w:jc w:val="both"/>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lastRenderedPageBreak/>
        <w:t>风险提示：</w:t>
      </w:r>
    </w:p>
    <w:p w:rsidR="00116F94" w:rsidRDefault="00116F94" w:rsidP="00116F94">
      <w:pPr>
        <w:widowControl w:val="0"/>
        <w:spacing w:line="360" w:lineRule="auto"/>
        <w:ind w:firstLine="420"/>
        <w:jc w:val="both"/>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本公司承诺以诚实信用、勤勉尽责的原则管理和运用基金资产，但不保证基金一定盈利，也不保证最低收益。本公司提醒投资者知晓基金投资的“买者自负”原则，在做出投资决策后，因指数熔断等原因引致的基金运营状况与基金净值变化投资风险，由投资者自行承担。敬请投资者投资于本公司旗下基金前应认真阅读相关基金的基金合同和招募说明书等相关法律文件。</w:t>
      </w:r>
    </w:p>
    <w:p w:rsidR="00116F94" w:rsidRDefault="00116F94" w:rsidP="00116F94">
      <w:pPr>
        <w:widowControl w:val="0"/>
        <w:spacing w:line="360" w:lineRule="auto"/>
        <w:ind w:firstLine="420"/>
        <w:jc w:val="both"/>
        <w:rPr>
          <w:rFonts w:asciiTheme="minorHAnsi" w:eastAsiaTheme="minorEastAsia" w:hAnsiTheme="minorHAnsi" w:cstheme="minorBidi"/>
          <w:kern w:val="2"/>
          <w:sz w:val="21"/>
          <w:szCs w:val="22"/>
        </w:rPr>
      </w:pPr>
    </w:p>
    <w:p w:rsidR="00116F94" w:rsidRDefault="00116F94" w:rsidP="00116F94">
      <w:pPr>
        <w:widowControl w:val="0"/>
        <w:spacing w:line="360" w:lineRule="auto"/>
        <w:ind w:firstLine="42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本公告的解释权归本公司。投资者欲了解详细情况，请登录本公司网站（</w:t>
      </w:r>
      <w:r>
        <w:rPr>
          <w:rFonts w:asciiTheme="minorHAnsi" w:eastAsiaTheme="minorEastAsia" w:hAnsiTheme="minorHAnsi" w:cstheme="minorBidi"/>
          <w:kern w:val="2"/>
          <w:sz w:val="21"/>
          <w:szCs w:val="22"/>
        </w:rPr>
        <w:t>http://www.hftfund.com</w:t>
      </w:r>
      <w:r>
        <w:rPr>
          <w:rFonts w:asciiTheme="minorHAnsi" w:eastAsiaTheme="minorEastAsia" w:hAnsiTheme="minorHAnsi" w:cstheme="minorBidi" w:hint="eastAsia"/>
          <w:kern w:val="2"/>
          <w:sz w:val="21"/>
          <w:szCs w:val="22"/>
        </w:rPr>
        <w:t>）查阅各基金最新信息或拨打本公司客户服务热线（</w:t>
      </w:r>
      <w:r>
        <w:rPr>
          <w:rFonts w:asciiTheme="minorHAnsi" w:eastAsiaTheme="minorEastAsia" w:hAnsiTheme="minorHAnsi" w:cstheme="minorBidi"/>
          <w:kern w:val="2"/>
          <w:sz w:val="21"/>
          <w:szCs w:val="22"/>
        </w:rPr>
        <w:t>40088-40099</w:t>
      </w:r>
      <w:r>
        <w:rPr>
          <w:rFonts w:asciiTheme="minorHAnsi" w:eastAsiaTheme="minorEastAsia" w:hAnsiTheme="minorHAnsi" w:cstheme="minorBidi" w:hint="eastAsia"/>
          <w:kern w:val="2"/>
          <w:sz w:val="21"/>
          <w:szCs w:val="22"/>
        </w:rPr>
        <w:t>）。</w:t>
      </w:r>
    </w:p>
    <w:p w:rsidR="00116F94" w:rsidRDefault="00116F94" w:rsidP="00116F94">
      <w:pPr>
        <w:widowControl w:val="0"/>
        <w:spacing w:line="360" w:lineRule="auto"/>
        <w:ind w:firstLine="420"/>
        <w:jc w:val="both"/>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特此公告。</w:t>
      </w:r>
    </w:p>
    <w:p w:rsidR="00116F94" w:rsidRDefault="00116F94" w:rsidP="00116F94">
      <w:pPr>
        <w:widowControl w:val="0"/>
        <w:spacing w:line="360" w:lineRule="auto"/>
        <w:ind w:firstLine="420"/>
        <w:jc w:val="both"/>
        <w:rPr>
          <w:rFonts w:asciiTheme="minorHAnsi" w:eastAsiaTheme="minorEastAsia" w:hAnsiTheme="minorHAnsi" w:cstheme="minorBidi"/>
          <w:kern w:val="2"/>
          <w:sz w:val="21"/>
          <w:szCs w:val="22"/>
        </w:rPr>
      </w:pPr>
      <w:r>
        <w:rPr>
          <w:rFonts w:asciiTheme="minorHAnsi" w:eastAsiaTheme="minorEastAsia" w:hAnsiTheme="minorHAnsi" w:cstheme="minorBidi"/>
          <w:kern w:val="2"/>
          <w:sz w:val="21"/>
          <w:szCs w:val="22"/>
        </w:rPr>
        <w:t xml:space="preserve">       </w:t>
      </w:r>
    </w:p>
    <w:p w:rsidR="00116F94" w:rsidRDefault="00116F94" w:rsidP="00116F94">
      <w:pPr>
        <w:pStyle w:val="HTML"/>
        <w:rPr>
          <w:sz w:val="21"/>
          <w:szCs w:val="21"/>
        </w:rPr>
      </w:pPr>
    </w:p>
    <w:p w:rsidR="00116F94" w:rsidRDefault="00116F94" w:rsidP="00116F94">
      <w:pPr>
        <w:pStyle w:val="HTML"/>
        <w:jc w:val="right"/>
        <w:rPr>
          <w:sz w:val="21"/>
          <w:szCs w:val="21"/>
        </w:rPr>
      </w:pPr>
      <w:r>
        <w:rPr>
          <w:rFonts w:hint="eastAsia"/>
          <w:sz w:val="21"/>
          <w:szCs w:val="21"/>
        </w:rPr>
        <w:t>海富通基金管理有限公司</w:t>
      </w:r>
    </w:p>
    <w:p w:rsidR="00116F94" w:rsidRDefault="00116F94" w:rsidP="00116F94">
      <w:pPr>
        <w:pStyle w:val="HTML"/>
        <w:jc w:val="right"/>
        <w:rPr>
          <w:sz w:val="21"/>
          <w:szCs w:val="21"/>
        </w:rPr>
      </w:pPr>
      <w:r>
        <w:rPr>
          <w:rFonts w:hint="eastAsia"/>
          <w:sz w:val="21"/>
          <w:szCs w:val="21"/>
        </w:rPr>
        <w:t>2015年12月31日</w:t>
      </w:r>
    </w:p>
    <w:p w:rsidR="00116F94" w:rsidRDefault="00116F94" w:rsidP="00116F94">
      <w:pPr>
        <w:pStyle w:val="HTML"/>
        <w:rPr>
          <w:sz w:val="21"/>
          <w:szCs w:val="21"/>
        </w:rPr>
      </w:pPr>
    </w:p>
    <w:p w:rsidR="004646A9" w:rsidRDefault="00116F94" w:rsidP="007B6C54">
      <w:pPr>
        <w:pStyle w:val="HTML"/>
      </w:pPr>
      <w:r>
        <w:rPr>
          <w:rFonts w:hint="eastAsia"/>
          <w:sz w:val="21"/>
          <w:szCs w:val="21"/>
        </w:rPr>
        <w:t>附：我司旗下受熔断影响而调整开放时间的基金名单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0"/>
        <w:gridCol w:w="2032"/>
        <w:gridCol w:w="5800"/>
      </w:tblGrid>
      <w:tr w:rsidR="007B6C54" w:rsidTr="00E75E9A">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b/>
                <w:bCs/>
                <w:color w:val="000000"/>
                <w:sz w:val="18"/>
                <w:szCs w:val="18"/>
              </w:rPr>
            </w:pPr>
            <w:r>
              <w:rPr>
                <w:rFonts w:hint="eastAsia"/>
                <w:b/>
                <w:bCs/>
                <w:color w:val="000000"/>
                <w:sz w:val="18"/>
                <w:szCs w:val="18"/>
              </w:rPr>
              <w:t>序号</w:t>
            </w:r>
          </w:p>
        </w:tc>
        <w:tc>
          <w:tcPr>
            <w:tcW w:w="1192" w:type="pct"/>
            <w:tcBorders>
              <w:top w:val="single" w:sz="4" w:space="0" w:color="auto"/>
              <w:left w:val="single" w:sz="4" w:space="0" w:color="auto"/>
              <w:bottom w:val="single" w:sz="4" w:space="0" w:color="auto"/>
              <w:right w:val="single" w:sz="4" w:space="0" w:color="auto"/>
            </w:tcBorders>
            <w:vAlign w:val="center"/>
          </w:tcPr>
          <w:p w:rsidR="007B6C54" w:rsidRDefault="007B6C54" w:rsidP="00E75E9A">
            <w:pPr>
              <w:jc w:val="center"/>
              <w:rPr>
                <w:b/>
                <w:bCs/>
                <w:color w:val="000000"/>
                <w:sz w:val="18"/>
                <w:szCs w:val="18"/>
              </w:rPr>
            </w:pPr>
            <w:r>
              <w:rPr>
                <w:rFonts w:hint="eastAsia"/>
                <w:b/>
                <w:bCs/>
                <w:color w:val="000000"/>
                <w:sz w:val="18"/>
                <w:szCs w:val="18"/>
              </w:rPr>
              <w:t>基金代码</w:t>
            </w:r>
          </w:p>
        </w:tc>
        <w:tc>
          <w:tcPr>
            <w:tcW w:w="3403"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b/>
                <w:bCs/>
                <w:color w:val="000000"/>
                <w:sz w:val="18"/>
                <w:szCs w:val="18"/>
              </w:rPr>
            </w:pPr>
            <w:r>
              <w:rPr>
                <w:rFonts w:hint="eastAsia"/>
                <w:b/>
                <w:bCs/>
                <w:color w:val="000000"/>
                <w:sz w:val="18"/>
                <w:szCs w:val="18"/>
              </w:rPr>
              <w:t>基金名称</w:t>
            </w:r>
          </w:p>
        </w:tc>
      </w:tr>
      <w:tr w:rsidR="007B6C54" w:rsidTr="00E75E9A">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1</w:t>
            </w:r>
          </w:p>
        </w:tc>
        <w:tc>
          <w:tcPr>
            <w:tcW w:w="1192" w:type="pct"/>
            <w:tcBorders>
              <w:top w:val="single" w:sz="4" w:space="0" w:color="auto"/>
              <w:left w:val="single" w:sz="4" w:space="0" w:color="auto"/>
              <w:bottom w:val="single" w:sz="4" w:space="0" w:color="auto"/>
              <w:right w:val="single" w:sz="4" w:space="0" w:color="auto"/>
            </w:tcBorders>
            <w:vAlign w:val="center"/>
          </w:tcPr>
          <w:p w:rsidR="007B6C54" w:rsidRDefault="007B6C54" w:rsidP="00E75E9A">
            <w:pPr>
              <w:jc w:val="center"/>
              <w:rPr>
                <w:color w:val="000000"/>
                <w:sz w:val="18"/>
                <w:szCs w:val="18"/>
              </w:rPr>
            </w:pPr>
            <w:r w:rsidRPr="00A4166E">
              <w:rPr>
                <w:color w:val="000000"/>
                <w:sz w:val="18"/>
                <w:szCs w:val="18"/>
              </w:rPr>
              <w:t>162307</w:t>
            </w:r>
          </w:p>
        </w:tc>
        <w:tc>
          <w:tcPr>
            <w:tcW w:w="3403"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海富通中证100指数证券投资基金(LOF) （场内简称：海富100）</w:t>
            </w:r>
          </w:p>
        </w:tc>
      </w:tr>
      <w:tr w:rsidR="007B6C54" w:rsidTr="00E75E9A">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2</w:t>
            </w:r>
          </w:p>
        </w:tc>
        <w:tc>
          <w:tcPr>
            <w:tcW w:w="1192" w:type="pct"/>
            <w:tcBorders>
              <w:top w:val="single" w:sz="4" w:space="0" w:color="auto"/>
              <w:left w:val="single" w:sz="4" w:space="0" w:color="auto"/>
              <w:bottom w:val="single" w:sz="4" w:space="0" w:color="auto"/>
              <w:right w:val="single" w:sz="4" w:space="0" w:color="auto"/>
            </w:tcBorders>
            <w:vAlign w:val="center"/>
          </w:tcPr>
          <w:p w:rsidR="007B6C54" w:rsidRDefault="007B6C54" w:rsidP="00E75E9A">
            <w:pPr>
              <w:jc w:val="center"/>
              <w:rPr>
                <w:color w:val="000000"/>
                <w:sz w:val="18"/>
                <w:szCs w:val="18"/>
              </w:rPr>
            </w:pPr>
            <w:r w:rsidRPr="00CE176F">
              <w:rPr>
                <w:color w:val="000000"/>
                <w:sz w:val="18"/>
                <w:szCs w:val="18"/>
              </w:rPr>
              <w:t>519003</w:t>
            </w:r>
          </w:p>
        </w:tc>
        <w:tc>
          <w:tcPr>
            <w:tcW w:w="3403"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海富通收益增长证券投资基金</w:t>
            </w:r>
          </w:p>
        </w:tc>
      </w:tr>
      <w:tr w:rsidR="007B6C54" w:rsidTr="00E75E9A">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3</w:t>
            </w:r>
          </w:p>
        </w:tc>
        <w:tc>
          <w:tcPr>
            <w:tcW w:w="1192" w:type="pct"/>
            <w:tcBorders>
              <w:top w:val="single" w:sz="4" w:space="0" w:color="auto"/>
              <w:left w:val="single" w:sz="4" w:space="0" w:color="auto"/>
              <w:bottom w:val="single" w:sz="4" w:space="0" w:color="auto"/>
              <w:right w:val="single" w:sz="4" w:space="0" w:color="auto"/>
            </w:tcBorders>
            <w:vAlign w:val="center"/>
          </w:tcPr>
          <w:p w:rsidR="007B6C54" w:rsidRDefault="007B6C54" w:rsidP="00E75E9A">
            <w:pPr>
              <w:jc w:val="center"/>
              <w:rPr>
                <w:color w:val="000000"/>
                <w:sz w:val="18"/>
                <w:szCs w:val="18"/>
              </w:rPr>
            </w:pPr>
            <w:r w:rsidRPr="00CE176F">
              <w:rPr>
                <w:color w:val="000000"/>
                <w:sz w:val="18"/>
                <w:szCs w:val="18"/>
              </w:rPr>
              <w:t>519005</w:t>
            </w:r>
          </w:p>
        </w:tc>
        <w:tc>
          <w:tcPr>
            <w:tcW w:w="3403"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海富通股票混合型证券投资基金</w:t>
            </w:r>
          </w:p>
        </w:tc>
      </w:tr>
      <w:tr w:rsidR="007B6C54" w:rsidTr="00E75E9A">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4</w:t>
            </w:r>
          </w:p>
        </w:tc>
        <w:tc>
          <w:tcPr>
            <w:tcW w:w="1192" w:type="pct"/>
            <w:tcBorders>
              <w:top w:val="single" w:sz="4" w:space="0" w:color="auto"/>
              <w:left w:val="single" w:sz="4" w:space="0" w:color="auto"/>
              <w:bottom w:val="single" w:sz="4" w:space="0" w:color="auto"/>
              <w:right w:val="single" w:sz="4" w:space="0" w:color="auto"/>
            </w:tcBorders>
            <w:vAlign w:val="center"/>
          </w:tcPr>
          <w:p w:rsidR="007B6C54" w:rsidRDefault="007B6C54" w:rsidP="00E75E9A">
            <w:pPr>
              <w:jc w:val="center"/>
              <w:rPr>
                <w:color w:val="000000"/>
                <w:sz w:val="18"/>
                <w:szCs w:val="18"/>
              </w:rPr>
            </w:pPr>
            <w:r w:rsidRPr="00CE176F">
              <w:rPr>
                <w:color w:val="000000"/>
                <w:sz w:val="18"/>
                <w:szCs w:val="18"/>
              </w:rPr>
              <w:t>519007</w:t>
            </w:r>
          </w:p>
        </w:tc>
        <w:tc>
          <w:tcPr>
            <w:tcW w:w="3403"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海富通强化回报混合型证券投资基金</w:t>
            </w:r>
          </w:p>
        </w:tc>
      </w:tr>
      <w:tr w:rsidR="007B6C54" w:rsidTr="00E75E9A">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5</w:t>
            </w:r>
          </w:p>
        </w:tc>
        <w:tc>
          <w:tcPr>
            <w:tcW w:w="1192" w:type="pct"/>
            <w:tcBorders>
              <w:top w:val="single" w:sz="4" w:space="0" w:color="auto"/>
              <w:left w:val="single" w:sz="4" w:space="0" w:color="auto"/>
              <w:bottom w:val="single" w:sz="4" w:space="0" w:color="auto"/>
              <w:right w:val="single" w:sz="4" w:space="0" w:color="auto"/>
            </w:tcBorders>
            <w:vAlign w:val="center"/>
          </w:tcPr>
          <w:p w:rsidR="007B6C54" w:rsidRDefault="007B6C54" w:rsidP="00E75E9A">
            <w:pPr>
              <w:jc w:val="center"/>
              <w:rPr>
                <w:color w:val="000000"/>
                <w:sz w:val="18"/>
                <w:szCs w:val="18"/>
              </w:rPr>
            </w:pPr>
            <w:r w:rsidRPr="00CE176F">
              <w:rPr>
                <w:color w:val="000000"/>
                <w:sz w:val="18"/>
                <w:szCs w:val="18"/>
              </w:rPr>
              <w:t>519011</w:t>
            </w:r>
          </w:p>
        </w:tc>
        <w:tc>
          <w:tcPr>
            <w:tcW w:w="3403"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海富通精选证券投资基金</w:t>
            </w:r>
          </w:p>
        </w:tc>
      </w:tr>
      <w:tr w:rsidR="007B6C54" w:rsidTr="00E75E9A">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6</w:t>
            </w:r>
          </w:p>
        </w:tc>
        <w:tc>
          <w:tcPr>
            <w:tcW w:w="1192" w:type="pct"/>
            <w:tcBorders>
              <w:top w:val="single" w:sz="4" w:space="0" w:color="auto"/>
              <w:left w:val="single" w:sz="4" w:space="0" w:color="auto"/>
              <w:bottom w:val="single" w:sz="4" w:space="0" w:color="auto"/>
              <w:right w:val="single" w:sz="4" w:space="0" w:color="auto"/>
            </w:tcBorders>
            <w:vAlign w:val="center"/>
          </w:tcPr>
          <w:p w:rsidR="007B6C54" w:rsidRDefault="007B6C54" w:rsidP="00E75E9A">
            <w:pPr>
              <w:jc w:val="center"/>
              <w:rPr>
                <w:color w:val="000000"/>
                <w:sz w:val="18"/>
                <w:szCs w:val="18"/>
              </w:rPr>
            </w:pPr>
            <w:r w:rsidRPr="00CE176F">
              <w:rPr>
                <w:color w:val="000000"/>
                <w:sz w:val="18"/>
                <w:szCs w:val="18"/>
              </w:rPr>
              <w:t>519013</w:t>
            </w:r>
          </w:p>
        </w:tc>
        <w:tc>
          <w:tcPr>
            <w:tcW w:w="3403"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海富通风格优势混合型证券投资基金</w:t>
            </w:r>
          </w:p>
        </w:tc>
      </w:tr>
      <w:tr w:rsidR="007B6C54" w:rsidTr="00E75E9A">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7</w:t>
            </w:r>
          </w:p>
        </w:tc>
        <w:tc>
          <w:tcPr>
            <w:tcW w:w="1192" w:type="pct"/>
            <w:tcBorders>
              <w:top w:val="single" w:sz="4" w:space="0" w:color="auto"/>
              <w:left w:val="single" w:sz="4" w:space="0" w:color="auto"/>
              <w:bottom w:val="single" w:sz="4" w:space="0" w:color="auto"/>
              <w:right w:val="single" w:sz="4" w:space="0" w:color="auto"/>
            </w:tcBorders>
            <w:vAlign w:val="center"/>
          </w:tcPr>
          <w:p w:rsidR="007B6C54" w:rsidRDefault="007B6C54" w:rsidP="00E75E9A">
            <w:pPr>
              <w:jc w:val="center"/>
              <w:rPr>
                <w:color w:val="000000"/>
                <w:sz w:val="18"/>
                <w:szCs w:val="18"/>
              </w:rPr>
            </w:pPr>
            <w:r w:rsidRPr="00CE176F">
              <w:rPr>
                <w:color w:val="000000"/>
                <w:sz w:val="18"/>
                <w:szCs w:val="18"/>
              </w:rPr>
              <w:t>519015</w:t>
            </w:r>
          </w:p>
        </w:tc>
        <w:tc>
          <w:tcPr>
            <w:tcW w:w="3403"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海富通精选贰号混合型证券投资基金</w:t>
            </w:r>
          </w:p>
        </w:tc>
      </w:tr>
      <w:tr w:rsidR="007B6C54" w:rsidTr="00E75E9A">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8</w:t>
            </w:r>
          </w:p>
        </w:tc>
        <w:tc>
          <w:tcPr>
            <w:tcW w:w="1192" w:type="pct"/>
            <w:tcBorders>
              <w:top w:val="single" w:sz="4" w:space="0" w:color="auto"/>
              <w:left w:val="single" w:sz="4" w:space="0" w:color="auto"/>
              <w:bottom w:val="single" w:sz="4" w:space="0" w:color="auto"/>
              <w:right w:val="single" w:sz="4" w:space="0" w:color="auto"/>
            </w:tcBorders>
            <w:vAlign w:val="center"/>
          </w:tcPr>
          <w:p w:rsidR="007B6C54" w:rsidRDefault="007B6C54" w:rsidP="00E75E9A">
            <w:pPr>
              <w:jc w:val="center"/>
              <w:rPr>
                <w:color w:val="000000"/>
                <w:sz w:val="18"/>
                <w:szCs w:val="18"/>
              </w:rPr>
            </w:pPr>
            <w:r>
              <w:rPr>
                <w:rFonts w:hint="eastAsia"/>
                <w:color w:val="000000"/>
                <w:sz w:val="18"/>
                <w:szCs w:val="18"/>
              </w:rPr>
              <w:t>C类：</w:t>
            </w:r>
            <w:r w:rsidRPr="00A4166E">
              <w:rPr>
                <w:color w:val="000000"/>
                <w:sz w:val="18"/>
                <w:szCs w:val="18"/>
              </w:rPr>
              <w:t>519023</w:t>
            </w:r>
          </w:p>
          <w:p w:rsidR="007B6C54" w:rsidRDefault="007B6C54" w:rsidP="00E75E9A">
            <w:pPr>
              <w:jc w:val="center"/>
              <w:rPr>
                <w:color w:val="000000"/>
                <w:sz w:val="18"/>
                <w:szCs w:val="18"/>
              </w:rPr>
            </w:pPr>
            <w:r>
              <w:rPr>
                <w:rFonts w:hint="eastAsia"/>
                <w:color w:val="000000"/>
                <w:sz w:val="18"/>
                <w:szCs w:val="18"/>
              </w:rPr>
              <w:t>A类：</w:t>
            </w:r>
            <w:r w:rsidRPr="00A4166E">
              <w:rPr>
                <w:color w:val="000000"/>
                <w:sz w:val="18"/>
                <w:szCs w:val="18"/>
              </w:rPr>
              <w:t>519024</w:t>
            </w:r>
          </w:p>
        </w:tc>
        <w:tc>
          <w:tcPr>
            <w:tcW w:w="3403"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海富通稳健添利债券型证券投资基金</w:t>
            </w:r>
          </w:p>
        </w:tc>
      </w:tr>
      <w:tr w:rsidR="007B6C54" w:rsidTr="00E75E9A">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9</w:t>
            </w:r>
          </w:p>
        </w:tc>
        <w:tc>
          <w:tcPr>
            <w:tcW w:w="1192" w:type="pct"/>
            <w:tcBorders>
              <w:top w:val="single" w:sz="4" w:space="0" w:color="auto"/>
              <w:left w:val="single" w:sz="4" w:space="0" w:color="auto"/>
              <w:bottom w:val="single" w:sz="4" w:space="0" w:color="auto"/>
              <w:right w:val="single" w:sz="4" w:space="0" w:color="auto"/>
            </w:tcBorders>
            <w:vAlign w:val="center"/>
          </w:tcPr>
          <w:p w:rsidR="007B6C54" w:rsidRDefault="007B6C54" w:rsidP="00E75E9A">
            <w:pPr>
              <w:jc w:val="center"/>
              <w:rPr>
                <w:color w:val="000000"/>
                <w:sz w:val="18"/>
                <w:szCs w:val="18"/>
              </w:rPr>
            </w:pPr>
            <w:r w:rsidRPr="00CE176F">
              <w:rPr>
                <w:color w:val="000000"/>
                <w:sz w:val="18"/>
                <w:szCs w:val="18"/>
              </w:rPr>
              <w:t>519025</w:t>
            </w:r>
          </w:p>
        </w:tc>
        <w:tc>
          <w:tcPr>
            <w:tcW w:w="3403"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海富通领先成长混合型证券投资基金</w:t>
            </w:r>
          </w:p>
        </w:tc>
      </w:tr>
      <w:tr w:rsidR="007B6C54" w:rsidTr="00E75E9A">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10</w:t>
            </w:r>
          </w:p>
        </w:tc>
        <w:tc>
          <w:tcPr>
            <w:tcW w:w="1192" w:type="pct"/>
            <w:tcBorders>
              <w:top w:val="single" w:sz="4" w:space="0" w:color="auto"/>
              <w:left w:val="single" w:sz="4" w:space="0" w:color="auto"/>
              <w:bottom w:val="single" w:sz="4" w:space="0" w:color="auto"/>
              <w:right w:val="single" w:sz="4" w:space="0" w:color="auto"/>
            </w:tcBorders>
            <w:vAlign w:val="center"/>
          </w:tcPr>
          <w:p w:rsidR="007B6C54" w:rsidRDefault="007B6C54" w:rsidP="00E75E9A">
            <w:pPr>
              <w:jc w:val="center"/>
              <w:rPr>
                <w:color w:val="000000"/>
                <w:sz w:val="18"/>
                <w:szCs w:val="18"/>
              </w:rPr>
            </w:pPr>
            <w:r w:rsidRPr="00CE176F">
              <w:rPr>
                <w:color w:val="000000"/>
                <w:sz w:val="18"/>
                <w:szCs w:val="18"/>
              </w:rPr>
              <w:t>519026</w:t>
            </w:r>
          </w:p>
        </w:tc>
        <w:tc>
          <w:tcPr>
            <w:tcW w:w="3403"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海富通中小盘混合型证券投资基金</w:t>
            </w:r>
          </w:p>
        </w:tc>
      </w:tr>
      <w:tr w:rsidR="007B6C54" w:rsidTr="00E75E9A">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11</w:t>
            </w:r>
          </w:p>
        </w:tc>
        <w:tc>
          <w:tcPr>
            <w:tcW w:w="1192" w:type="pct"/>
            <w:tcBorders>
              <w:top w:val="single" w:sz="4" w:space="0" w:color="auto"/>
              <w:left w:val="single" w:sz="4" w:space="0" w:color="auto"/>
              <w:bottom w:val="single" w:sz="4" w:space="0" w:color="auto"/>
              <w:right w:val="single" w:sz="4" w:space="0" w:color="auto"/>
            </w:tcBorders>
            <w:vAlign w:val="center"/>
          </w:tcPr>
          <w:p w:rsidR="007B6C54" w:rsidRDefault="007B6C54" w:rsidP="00E75E9A">
            <w:pPr>
              <w:jc w:val="center"/>
              <w:rPr>
                <w:color w:val="000000"/>
                <w:sz w:val="18"/>
                <w:szCs w:val="18"/>
              </w:rPr>
            </w:pPr>
            <w:r w:rsidRPr="00CE176F">
              <w:rPr>
                <w:color w:val="000000"/>
                <w:sz w:val="18"/>
                <w:szCs w:val="18"/>
              </w:rPr>
              <w:t>519027</w:t>
            </w:r>
          </w:p>
        </w:tc>
        <w:tc>
          <w:tcPr>
            <w:tcW w:w="3403"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海富通上证周期行业50交易型开放式指数证券投资基金联接基金</w:t>
            </w:r>
          </w:p>
        </w:tc>
      </w:tr>
      <w:tr w:rsidR="007B6C54" w:rsidTr="00E75E9A">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12</w:t>
            </w:r>
          </w:p>
        </w:tc>
        <w:tc>
          <w:tcPr>
            <w:tcW w:w="1192" w:type="pct"/>
            <w:tcBorders>
              <w:top w:val="single" w:sz="4" w:space="0" w:color="auto"/>
              <w:left w:val="single" w:sz="4" w:space="0" w:color="auto"/>
              <w:bottom w:val="single" w:sz="4" w:space="0" w:color="auto"/>
              <w:right w:val="single" w:sz="4" w:space="0" w:color="auto"/>
            </w:tcBorders>
            <w:vAlign w:val="center"/>
          </w:tcPr>
          <w:p w:rsidR="007B6C54" w:rsidRDefault="007B6C54" w:rsidP="00E75E9A">
            <w:pPr>
              <w:jc w:val="center"/>
              <w:rPr>
                <w:color w:val="000000"/>
                <w:sz w:val="18"/>
                <w:szCs w:val="18"/>
              </w:rPr>
            </w:pPr>
            <w:r w:rsidRPr="00CE176F">
              <w:rPr>
                <w:color w:val="000000"/>
                <w:sz w:val="18"/>
                <w:szCs w:val="18"/>
              </w:rPr>
              <w:t>519030</w:t>
            </w:r>
          </w:p>
        </w:tc>
        <w:tc>
          <w:tcPr>
            <w:tcW w:w="3403"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海富通稳固收益债券型证券投资基金</w:t>
            </w:r>
          </w:p>
        </w:tc>
      </w:tr>
      <w:tr w:rsidR="007B6C54" w:rsidTr="00E75E9A">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13</w:t>
            </w:r>
          </w:p>
        </w:tc>
        <w:tc>
          <w:tcPr>
            <w:tcW w:w="1192" w:type="pct"/>
            <w:tcBorders>
              <w:top w:val="single" w:sz="4" w:space="0" w:color="auto"/>
              <w:left w:val="single" w:sz="4" w:space="0" w:color="auto"/>
              <w:bottom w:val="single" w:sz="4" w:space="0" w:color="auto"/>
              <w:right w:val="single" w:sz="4" w:space="0" w:color="auto"/>
            </w:tcBorders>
            <w:vAlign w:val="center"/>
          </w:tcPr>
          <w:p w:rsidR="007B6C54" w:rsidRDefault="007B6C54" w:rsidP="00E75E9A">
            <w:pPr>
              <w:jc w:val="center"/>
              <w:rPr>
                <w:color w:val="000000"/>
                <w:sz w:val="18"/>
                <w:szCs w:val="18"/>
              </w:rPr>
            </w:pPr>
            <w:r w:rsidRPr="00CE176F">
              <w:rPr>
                <w:color w:val="000000"/>
                <w:sz w:val="18"/>
                <w:szCs w:val="18"/>
              </w:rPr>
              <w:t>519032</w:t>
            </w:r>
          </w:p>
        </w:tc>
        <w:tc>
          <w:tcPr>
            <w:tcW w:w="3403"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海富通上证非周期行业100交易型开放式指数证券投资基金联接基金</w:t>
            </w:r>
          </w:p>
        </w:tc>
      </w:tr>
      <w:tr w:rsidR="007B6C54" w:rsidTr="00E75E9A">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14</w:t>
            </w:r>
          </w:p>
        </w:tc>
        <w:tc>
          <w:tcPr>
            <w:tcW w:w="1192" w:type="pct"/>
            <w:tcBorders>
              <w:top w:val="single" w:sz="4" w:space="0" w:color="auto"/>
              <w:left w:val="single" w:sz="4" w:space="0" w:color="auto"/>
              <w:bottom w:val="single" w:sz="4" w:space="0" w:color="auto"/>
              <w:right w:val="single" w:sz="4" w:space="0" w:color="auto"/>
            </w:tcBorders>
            <w:vAlign w:val="center"/>
          </w:tcPr>
          <w:p w:rsidR="007B6C54" w:rsidRDefault="007B6C54" w:rsidP="00E75E9A">
            <w:pPr>
              <w:jc w:val="center"/>
              <w:rPr>
                <w:color w:val="000000"/>
                <w:sz w:val="18"/>
                <w:szCs w:val="18"/>
              </w:rPr>
            </w:pPr>
            <w:r w:rsidRPr="00CE176F">
              <w:rPr>
                <w:color w:val="000000"/>
                <w:sz w:val="18"/>
                <w:szCs w:val="18"/>
              </w:rPr>
              <w:t>519033</w:t>
            </w:r>
          </w:p>
        </w:tc>
        <w:tc>
          <w:tcPr>
            <w:tcW w:w="3403"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海富通国策导向混合型证券投资基金</w:t>
            </w:r>
          </w:p>
        </w:tc>
      </w:tr>
      <w:tr w:rsidR="007B6C54" w:rsidTr="00E75E9A">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15</w:t>
            </w:r>
          </w:p>
        </w:tc>
        <w:tc>
          <w:tcPr>
            <w:tcW w:w="1192" w:type="pct"/>
            <w:tcBorders>
              <w:top w:val="single" w:sz="4" w:space="0" w:color="auto"/>
              <w:left w:val="single" w:sz="4" w:space="0" w:color="auto"/>
              <w:bottom w:val="single" w:sz="4" w:space="0" w:color="auto"/>
              <w:right w:val="single" w:sz="4" w:space="0" w:color="auto"/>
            </w:tcBorders>
            <w:vAlign w:val="center"/>
          </w:tcPr>
          <w:p w:rsidR="007B6C54" w:rsidRDefault="007B6C54" w:rsidP="00E75E9A">
            <w:pPr>
              <w:jc w:val="center"/>
              <w:rPr>
                <w:color w:val="000000"/>
                <w:sz w:val="18"/>
                <w:szCs w:val="18"/>
              </w:rPr>
            </w:pPr>
            <w:r w:rsidRPr="00CE176F">
              <w:rPr>
                <w:color w:val="000000"/>
                <w:sz w:val="18"/>
                <w:szCs w:val="18"/>
              </w:rPr>
              <w:t>519034</w:t>
            </w:r>
          </w:p>
        </w:tc>
        <w:tc>
          <w:tcPr>
            <w:tcW w:w="3403"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海富通中证内地低碳经济主题指数证券投资基金</w:t>
            </w:r>
          </w:p>
        </w:tc>
      </w:tr>
      <w:tr w:rsidR="007B6C54" w:rsidTr="00E75E9A">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lastRenderedPageBreak/>
              <w:t>16</w:t>
            </w:r>
          </w:p>
        </w:tc>
        <w:tc>
          <w:tcPr>
            <w:tcW w:w="1192" w:type="pct"/>
            <w:tcBorders>
              <w:top w:val="single" w:sz="4" w:space="0" w:color="auto"/>
              <w:left w:val="single" w:sz="4" w:space="0" w:color="auto"/>
              <w:bottom w:val="single" w:sz="4" w:space="0" w:color="auto"/>
              <w:right w:val="single" w:sz="4" w:space="0" w:color="auto"/>
            </w:tcBorders>
            <w:vAlign w:val="center"/>
          </w:tcPr>
          <w:p w:rsidR="007B6C54" w:rsidRDefault="007B6C54" w:rsidP="00E75E9A">
            <w:pPr>
              <w:jc w:val="center"/>
              <w:rPr>
                <w:color w:val="000000"/>
                <w:sz w:val="18"/>
                <w:szCs w:val="18"/>
              </w:rPr>
            </w:pPr>
            <w:r w:rsidRPr="00CE176F">
              <w:rPr>
                <w:color w:val="000000"/>
                <w:sz w:val="18"/>
                <w:szCs w:val="18"/>
              </w:rPr>
              <w:t>519050</w:t>
            </w:r>
          </w:p>
        </w:tc>
        <w:tc>
          <w:tcPr>
            <w:tcW w:w="3403"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海富通养老收益混合型证券投资基金</w:t>
            </w:r>
          </w:p>
        </w:tc>
      </w:tr>
      <w:tr w:rsidR="007B6C54" w:rsidTr="00E75E9A">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17</w:t>
            </w:r>
          </w:p>
        </w:tc>
        <w:tc>
          <w:tcPr>
            <w:tcW w:w="1192" w:type="pct"/>
            <w:tcBorders>
              <w:top w:val="single" w:sz="4" w:space="0" w:color="auto"/>
              <w:left w:val="single" w:sz="4" w:space="0" w:color="auto"/>
              <w:bottom w:val="single" w:sz="4" w:space="0" w:color="auto"/>
              <w:right w:val="single" w:sz="4" w:space="0" w:color="auto"/>
            </w:tcBorders>
            <w:vAlign w:val="center"/>
          </w:tcPr>
          <w:p w:rsidR="007B6C54" w:rsidRDefault="005E6F80" w:rsidP="00E75E9A">
            <w:pPr>
              <w:jc w:val="center"/>
              <w:rPr>
                <w:color w:val="000000"/>
                <w:sz w:val="18"/>
                <w:szCs w:val="18"/>
              </w:rPr>
            </w:pPr>
            <w:r w:rsidRPr="00CE176F">
              <w:rPr>
                <w:color w:val="000000"/>
                <w:sz w:val="18"/>
                <w:szCs w:val="18"/>
              </w:rPr>
              <w:t>A类</w:t>
            </w:r>
            <w:r w:rsidRPr="00CE176F">
              <w:rPr>
                <w:rFonts w:hint="eastAsia"/>
                <w:color w:val="000000"/>
                <w:sz w:val="18"/>
                <w:szCs w:val="18"/>
              </w:rPr>
              <w:t>：</w:t>
            </w:r>
            <w:r w:rsidR="007B6C54" w:rsidRPr="00CE176F">
              <w:rPr>
                <w:color w:val="000000"/>
                <w:sz w:val="18"/>
                <w:szCs w:val="18"/>
              </w:rPr>
              <w:t>519051</w:t>
            </w:r>
          </w:p>
          <w:p w:rsidR="005E6F80" w:rsidRPr="00A4166E" w:rsidRDefault="005E6F80" w:rsidP="00E75E9A">
            <w:pPr>
              <w:jc w:val="center"/>
              <w:rPr>
                <w:color w:val="000000"/>
                <w:sz w:val="18"/>
                <w:szCs w:val="18"/>
              </w:rPr>
            </w:pPr>
            <w:r w:rsidRPr="00CE176F">
              <w:rPr>
                <w:color w:val="000000"/>
                <w:sz w:val="18"/>
                <w:szCs w:val="18"/>
              </w:rPr>
              <w:t>C类</w:t>
            </w:r>
            <w:r w:rsidRPr="00CE176F">
              <w:rPr>
                <w:rFonts w:hint="eastAsia"/>
                <w:color w:val="000000"/>
                <w:sz w:val="18"/>
                <w:szCs w:val="18"/>
              </w:rPr>
              <w:t>：</w:t>
            </w:r>
            <w:r>
              <w:rPr>
                <w:rFonts w:hint="eastAsia"/>
                <w:color w:val="000000"/>
                <w:sz w:val="18"/>
                <w:szCs w:val="18"/>
              </w:rPr>
              <w:t>001976</w:t>
            </w:r>
          </w:p>
        </w:tc>
        <w:tc>
          <w:tcPr>
            <w:tcW w:w="3403"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sz w:val="18"/>
                <w:szCs w:val="18"/>
              </w:rPr>
            </w:pPr>
            <w:r>
              <w:rPr>
                <w:rFonts w:hint="eastAsia"/>
                <w:sz w:val="18"/>
                <w:szCs w:val="18"/>
              </w:rPr>
              <w:t>海富通一年定期开放债券型证券投资基金</w:t>
            </w:r>
          </w:p>
        </w:tc>
      </w:tr>
      <w:tr w:rsidR="007B6C54" w:rsidTr="00E75E9A">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18</w:t>
            </w:r>
          </w:p>
        </w:tc>
        <w:tc>
          <w:tcPr>
            <w:tcW w:w="1192" w:type="pct"/>
            <w:tcBorders>
              <w:top w:val="single" w:sz="4" w:space="0" w:color="auto"/>
              <w:left w:val="single" w:sz="4" w:space="0" w:color="auto"/>
              <w:bottom w:val="single" w:sz="4" w:space="0" w:color="auto"/>
              <w:right w:val="single" w:sz="4" w:space="0" w:color="auto"/>
            </w:tcBorders>
            <w:vAlign w:val="center"/>
          </w:tcPr>
          <w:p w:rsidR="007B6C54" w:rsidRPr="00A4166E" w:rsidRDefault="007B6C54" w:rsidP="00E75E9A">
            <w:pPr>
              <w:jc w:val="center"/>
              <w:rPr>
                <w:color w:val="000000"/>
                <w:sz w:val="18"/>
                <w:szCs w:val="18"/>
              </w:rPr>
            </w:pPr>
            <w:r w:rsidRPr="00CE176F">
              <w:rPr>
                <w:color w:val="000000"/>
                <w:sz w:val="18"/>
                <w:szCs w:val="18"/>
              </w:rPr>
              <w:t>519055</w:t>
            </w:r>
          </w:p>
        </w:tc>
        <w:tc>
          <w:tcPr>
            <w:tcW w:w="3403"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sz w:val="18"/>
                <w:szCs w:val="18"/>
              </w:rPr>
            </w:pPr>
            <w:r>
              <w:rPr>
                <w:rFonts w:hint="eastAsia"/>
                <w:sz w:val="18"/>
                <w:szCs w:val="18"/>
              </w:rPr>
              <w:t>海富通双利债券型证券投资基金</w:t>
            </w:r>
          </w:p>
        </w:tc>
      </w:tr>
      <w:tr w:rsidR="007B6C54" w:rsidTr="00E75E9A">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19</w:t>
            </w:r>
          </w:p>
        </w:tc>
        <w:tc>
          <w:tcPr>
            <w:tcW w:w="1192" w:type="pct"/>
            <w:tcBorders>
              <w:top w:val="single" w:sz="4" w:space="0" w:color="auto"/>
              <w:left w:val="single" w:sz="4" w:space="0" w:color="auto"/>
              <w:bottom w:val="single" w:sz="4" w:space="0" w:color="auto"/>
              <w:right w:val="single" w:sz="4" w:space="0" w:color="auto"/>
            </w:tcBorders>
            <w:vAlign w:val="center"/>
          </w:tcPr>
          <w:p w:rsidR="007B6C54" w:rsidRDefault="007B6C54" w:rsidP="00E75E9A">
            <w:pPr>
              <w:jc w:val="center"/>
              <w:rPr>
                <w:color w:val="000000"/>
                <w:sz w:val="18"/>
                <w:szCs w:val="18"/>
              </w:rPr>
            </w:pPr>
            <w:r w:rsidRPr="00CE176F">
              <w:rPr>
                <w:color w:val="000000"/>
                <w:sz w:val="18"/>
                <w:szCs w:val="18"/>
              </w:rPr>
              <w:t>519056</w:t>
            </w:r>
          </w:p>
        </w:tc>
        <w:tc>
          <w:tcPr>
            <w:tcW w:w="3403"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海富通内需热点混合型证券投资基金</w:t>
            </w:r>
          </w:p>
        </w:tc>
      </w:tr>
      <w:tr w:rsidR="007B6C54" w:rsidTr="00E75E9A">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20</w:t>
            </w:r>
          </w:p>
        </w:tc>
        <w:tc>
          <w:tcPr>
            <w:tcW w:w="1192" w:type="pct"/>
            <w:tcBorders>
              <w:top w:val="single" w:sz="4" w:space="0" w:color="auto"/>
              <w:left w:val="single" w:sz="4" w:space="0" w:color="auto"/>
              <w:bottom w:val="single" w:sz="4" w:space="0" w:color="auto"/>
              <w:right w:val="single" w:sz="4" w:space="0" w:color="auto"/>
            </w:tcBorders>
            <w:vAlign w:val="center"/>
          </w:tcPr>
          <w:p w:rsidR="007B6C54" w:rsidRDefault="007B6C54" w:rsidP="00E75E9A">
            <w:pPr>
              <w:jc w:val="center"/>
              <w:rPr>
                <w:color w:val="000000"/>
                <w:sz w:val="18"/>
                <w:szCs w:val="18"/>
              </w:rPr>
            </w:pPr>
            <w:r w:rsidRPr="00A4166E">
              <w:rPr>
                <w:color w:val="000000"/>
                <w:sz w:val="18"/>
                <w:szCs w:val="18"/>
              </w:rPr>
              <w:t>母基金</w:t>
            </w:r>
            <w:r w:rsidRPr="00CE176F">
              <w:rPr>
                <w:color w:val="000000"/>
                <w:sz w:val="18"/>
                <w:szCs w:val="18"/>
              </w:rPr>
              <w:t>519059</w:t>
            </w:r>
          </w:p>
          <w:p w:rsidR="007B6C54" w:rsidRDefault="007B6C54" w:rsidP="00E75E9A">
            <w:pPr>
              <w:jc w:val="center"/>
              <w:rPr>
                <w:color w:val="000000"/>
                <w:sz w:val="18"/>
                <w:szCs w:val="18"/>
              </w:rPr>
            </w:pPr>
            <w:r w:rsidRPr="00A4166E">
              <w:rPr>
                <w:color w:val="000000"/>
                <w:sz w:val="18"/>
                <w:szCs w:val="18"/>
              </w:rPr>
              <w:t>A</w:t>
            </w:r>
            <w:r>
              <w:rPr>
                <w:rFonts w:hint="eastAsia"/>
                <w:color w:val="000000"/>
                <w:sz w:val="18"/>
                <w:szCs w:val="18"/>
              </w:rPr>
              <w:t>级：519057</w:t>
            </w:r>
          </w:p>
          <w:p w:rsidR="007B6C54" w:rsidRPr="00A4166E" w:rsidRDefault="007B6C54" w:rsidP="00E75E9A">
            <w:pPr>
              <w:jc w:val="center"/>
              <w:rPr>
                <w:color w:val="000000"/>
                <w:sz w:val="18"/>
                <w:szCs w:val="18"/>
              </w:rPr>
            </w:pPr>
            <w:r>
              <w:rPr>
                <w:rFonts w:hint="eastAsia"/>
                <w:color w:val="000000"/>
                <w:sz w:val="18"/>
                <w:szCs w:val="18"/>
              </w:rPr>
              <w:t>B级：519058</w:t>
            </w:r>
          </w:p>
        </w:tc>
        <w:tc>
          <w:tcPr>
            <w:tcW w:w="3403"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sz w:val="18"/>
                <w:szCs w:val="18"/>
              </w:rPr>
            </w:pPr>
            <w:r>
              <w:rPr>
                <w:rFonts w:hint="eastAsia"/>
                <w:sz w:val="18"/>
                <w:szCs w:val="18"/>
              </w:rPr>
              <w:t>海富通双福分级债券型证券投资基金</w:t>
            </w:r>
          </w:p>
        </w:tc>
      </w:tr>
      <w:tr w:rsidR="007B6C54" w:rsidTr="00E75E9A">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21</w:t>
            </w:r>
          </w:p>
        </w:tc>
        <w:tc>
          <w:tcPr>
            <w:tcW w:w="1192" w:type="pct"/>
            <w:tcBorders>
              <w:top w:val="single" w:sz="4" w:space="0" w:color="auto"/>
              <w:left w:val="single" w:sz="4" w:space="0" w:color="auto"/>
              <w:bottom w:val="single" w:sz="4" w:space="0" w:color="auto"/>
              <w:right w:val="single" w:sz="4" w:space="0" w:color="auto"/>
            </w:tcBorders>
            <w:vAlign w:val="center"/>
          </w:tcPr>
          <w:p w:rsidR="007B6C54" w:rsidRPr="00A4166E" w:rsidRDefault="007B6C54" w:rsidP="00E75E9A">
            <w:pPr>
              <w:jc w:val="center"/>
              <w:rPr>
                <w:color w:val="000000"/>
                <w:sz w:val="18"/>
                <w:szCs w:val="18"/>
              </w:rPr>
            </w:pPr>
            <w:r w:rsidRPr="00CE176F">
              <w:rPr>
                <w:color w:val="000000"/>
                <w:sz w:val="18"/>
                <w:szCs w:val="18"/>
              </w:rPr>
              <w:t>A类</w:t>
            </w:r>
            <w:r w:rsidRPr="00CE176F">
              <w:rPr>
                <w:rFonts w:hint="eastAsia"/>
                <w:color w:val="000000"/>
                <w:sz w:val="18"/>
                <w:szCs w:val="18"/>
              </w:rPr>
              <w:t>：</w:t>
            </w:r>
            <w:r w:rsidRPr="00CE176F">
              <w:rPr>
                <w:color w:val="000000"/>
                <w:sz w:val="18"/>
                <w:szCs w:val="18"/>
              </w:rPr>
              <w:t>519061</w:t>
            </w:r>
          </w:p>
          <w:p w:rsidR="007B6C54" w:rsidRPr="00A4166E" w:rsidRDefault="007B6C54" w:rsidP="00E75E9A">
            <w:pPr>
              <w:jc w:val="center"/>
              <w:rPr>
                <w:color w:val="000000"/>
                <w:sz w:val="18"/>
                <w:szCs w:val="18"/>
              </w:rPr>
            </w:pPr>
            <w:r w:rsidRPr="00CE176F">
              <w:rPr>
                <w:color w:val="000000"/>
                <w:sz w:val="18"/>
                <w:szCs w:val="18"/>
              </w:rPr>
              <w:t>C类</w:t>
            </w:r>
            <w:r w:rsidRPr="00CE176F">
              <w:rPr>
                <w:rFonts w:hint="eastAsia"/>
                <w:color w:val="000000"/>
                <w:sz w:val="18"/>
                <w:szCs w:val="18"/>
              </w:rPr>
              <w:t>：</w:t>
            </w:r>
            <w:r w:rsidRPr="00CE176F">
              <w:rPr>
                <w:color w:val="000000"/>
                <w:sz w:val="18"/>
                <w:szCs w:val="18"/>
              </w:rPr>
              <w:t>519060</w:t>
            </w:r>
          </w:p>
        </w:tc>
        <w:tc>
          <w:tcPr>
            <w:tcW w:w="3403"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sz w:val="18"/>
                <w:szCs w:val="18"/>
              </w:rPr>
            </w:pPr>
            <w:r>
              <w:rPr>
                <w:rFonts w:hint="eastAsia"/>
                <w:sz w:val="18"/>
                <w:szCs w:val="18"/>
              </w:rPr>
              <w:t>海富通纯债债券型证券投资基金</w:t>
            </w:r>
          </w:p>
        </w:tc>
      </w:tr>
      <w:tr w:rsidR="007B6C54" w:rsidTr="00E75E9A">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sz w:val="18"/>
                <w:szCs w:val="18"/>
              </w:rPr>
            </w:pPr>
            <w:r>
              <w:rPr>
                <w:rFonts w:hint="eastAsia"/>
                <w:sz w:val="18"/>
                <w:szCs w:val="18"/>
              </w:rPr>
              <w:t>22</w:t>
            </w:r>
          </w:p>
        </w:tc>
        <w:tc>
          <w:tcPr>
            <w:tcW w:w="1192" w:type="pct"/>
            <w:tcBorders>
              <w:top w:val="single" w:sz="4" w:space="0" w:color="auto"/>
              <w:left w:val="single" w:sz="4" w:space="0" w:color="auto"/>
              <w:bottom w:val="single" w:sz="4" w:space="0" w:color="auto"/>
              <w:right w:val="single" w:sz="4" w:space="0" w:color="auto"/>
            </w:tcBorders>
            <w:vAlign w:val="center"/>
          </w:tcPr>
          <w:p w:rsidR="007B6C54" w:rsidRPr="00A4166E" w:rsidRDefault="007B6C54" w:rsidP="00E75E9A">
            <w:pPr>
              <w:jc w:val="center"/>
              <w:rPr>
                <w:color w:val="000000"/>
                <w:sz w:val="18"/>
                <w:szCs w:val="18"/>
              </w:rPr>
            </w:pPr>
            <w:r w:rsidRPr="00CE176F">
              <w:rPr>
                <w:color w:val="000000"/>
                <w:sz w:val="18"/>
                <w:szCs w:val="18"/>
              </w:rPr>
              <w:t>162308</w:t>
            </w:r>
          </w:p>
        </w:tc>
        <w:tc>
          <w:tcPr>
            <w:tcW w:w="3403"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sz w:val="18"/>
                <w:szCs w:val="18"/>
              </w:rPr>
            </w:pPr>
            <w:r>
              <w:rPr>
                <w:rFonts w:hint="eastAsia"/>
                <w:sz w:val="18"/>
                <w:szCs w:val="18"/>
              </w:rPr>
              <w:t>海富通稳进增利债券型证券投资基金（LOF）（场内简称：海富增利）</w:t>
            </w:r>
          </w:p>
        </w:tc>
      </w:tr>
      <w:tr w:rsidR="007B6C54" w:rsidTr="00E75E9A">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23</w:t>
            </w:r>
          </w:p>
        </w:tc>
        <w:tc>
          <w:tcPr>
            <w:tcW w:w="1192" w:type="pct"/>
            <w:tcBorders>
              <w:top w:val="single" w:sz="4" w:space="0" w:color="auto"/>
              <w:left w:val="single" w:sz="4" w:space="0" w:color="auto"/>
              <w:bottom w:val="single" w:sz="4" w:space="0" w:color="auto"/>
              <w:right w:val="single" w:sz="4" w:space="0" w:color="auto"/>
            </w:tcBorders>
            <w:vAlign w:val="center"/>
          </w:tcPr>
          <w:p w:rsidR="007B6C54" w:rsidRPr="00A4166E" w:rsidRDefault="007B6C54" w:rsidP="00E75E9A">
            <w:pPr>
              <w:jc w:val="center"/>
              <w:rPr>
                <w:color w:val="000000"/>
                <w:sz w:val="18"/>
                <w:szCs w:val="18"/>
              </w:rPr>
            </w:pPr>
            <w:r w:rsidRPr="00CE176F">
              <w:rPr>
                <w:color w:val="000000"/>
                <w:sz w:val="18"/>
                <w:szCs w:val="18"/>
              </w:rPr>
              <w:t>519062</w:t>
            </w:r>
          </w:p>
        </w:tc>
        <w:tc>
          <w:tcPr>
            <w:tcW w:w="3403"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sz w:val="18"/>
                <w:szCs w:val="18"/>
              </w:rPr>
            </w:pPr>
            <w:r>
              <w:rPr>
                <w:rFonts w:hint="eastAsia"/>
                <w:sz w:val="18"/>
                <w:szCs w:val="18"/>
              </w:rPr>
              <w:t>海富通阿尔法对冲混合型发起式证券投资基金</w:t>
            </w:r>
          </w:p>
        </w:tc>
      </w:tr>
      <w:tr w:rsidR="007B6C54" w:rsidTr="00E75E9A">
        <w:trPr>
          <w:trHeight w:val="480"/>
        </w:trPr>
        <w:tc>
          <w:tcPr>
            <w:tcW w:w="405"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color w:val="000000"/>
                <w:sz w:val="18"/>
                <w:szCs w:val="18"/>
              </w:rPr>
            </w:pPr>
            <w:r>
              <w:rPr>
                <w:rFonts w:hint="eastAsia"/>
                <w:color w:val="000000"/>
                <w:sz w:val="18"/>
                <w:szCs w:val="18"/>
              </w:rPr>
              <w:t>24</w:t>
            </w:r>
          </w:p>
        </w:tc>
        <w:tc>
          <w:tcPr>
            <w:tcW w:w="1192" w:type="pct"/>
            <w:tcBorders>
              <w:top w:val="single" w:sz="4" w:space="0" w:color="auto"/>
              <w:left w:val="single" w:sz="4" w:space="0" w:color="auto"/>
              <w:bottom w:val="single" w:sz="4" w:space="0" w:color="auto"/>
              <w:right w:val="single" w:sz="4" w:space="0" w:color="auto"/>
            </w:tcBorders>
            <w:vAlign w:val="center"/>
          </w:tcPr>
          <w:p w:rsidR="007B6C54" w:rsidRDefault="005E6F80" w:rsidP="00E75E9A">
            <w:pPr>
              <w:jc w:val="center"/>
              <w:rPr>
                <w:color w:val="000000"/>
                <w:sz w:val="18"/>
                <w:szCs w:val="18"/>
              </w:rPr>
            </w:pPr>
            <w:r w:rsidRPr="00CE176F">
              <w:rPr>
                <w:color w:val="000000"/>
                <w:sz w:val="18"/>
                <w:szCs w:val="18"/>
              </w:rPr>
              <w:t>A类</w:t>
            </w:r>
            <w:r w:rsidRPr="00CE176F">
              <w:rPr>
                <w:rFonts w:hint="eastAsia"/>
                <w:color w:val="000000"/>
                <w:sz w:val="18"/>
                <w:szCs w:val="18"/>
              </w:rPr>
              <w:t>：</w:t>
            </w:r>
            <w:r w:rsidR="007B6C54" w:rsidRPr="00CE176F">
              <w:rPr>
                <w:color w:val="000000"/>
                <w:sz w:val="18"/>
                <w:szCs w:val="18"/>
              </w:rPr>
              <w:t>519130</w:t>
            </w:r>
          </w:p>
          <w:p w:rsidR="005E6F80" w:rsidRPr="00A4166E" w:rsidRDefault="005E6F80" w:rsidP="00E75E9A">
            <w:pPr>
              <w:jc w:val="center"/>
              <w:rPr>
                <w:color w:val="000000"/>
                <w:sz w:val="18"/>
                <w:szCs w:val="18"/>
              </w:rPr>
            </w:pPr>
            <w:r w:rsidRPr="00CE176F">
              <w:rPr>
                <w:color w:val="000000"/>
                <w:sz w:val="18"/>
                <w:szCs w:val="18"/>
              </w:rPr>
              <w:t>C类</w:t>
            </w:r>
            <w:r w:rsidRPr="00CE176F">
              <w:rPr>
                <w:rFonts w:hint="eastAsia"/>
                <w:color w:val="000000"/>
                <w:sz w:val="18"/>
                <w:szCs w:val="18"/>
              </w:rPr>
              <w:t>：</w:t>
            </w:r>
            <w:r>
              <w:rPr>
                <w:rFonts w:hint="eastAsia"/>
                <w:color w:val="000000"/>
                <w:sz w:val="18"/>
                <w:szCs w:val="18"/>
              </w:rPr>
              <w:t>002172</w:t>
            </w:r>
          </w:p>
        </w:tc>
        <w:tc>
          <w:tcPr>
            <w:tcW w:w="3403" w:type="pct"/>
            <w:tcBorders>
              <w:top w:val="single" w:sz="4" w:space="0" w:color="auto"/>
              <w:left w:val="single" w:sz="4" w:space="0" w:color="auto"/>
              <w:bottom w:val="single" w:sz="4" w:space="0" w:color="auto"/>
              <w:right w:val="single" w:sz="4" w:space="0" w:color="auto"/>
            </w:tcBorders>
            <w:vAlign w:val="center"/>
            <w:hideMark/>
          </w:tcPr>
          <w:p w:rsidR="007B6C54" w:rsidRDefault="007B6C54" w:rsidP="00E75E9A">
            <w:pPr>
              <w:jc w:val="center"/>
              <w:rPr>
                <w:sz w:val="18"/>
                <w:szCs w:val="18"/>
              </w:rPr>
            </w:pPr>
            <w:r>
              <w:rPr>
                <w:rFonts w:hint="eastAsia"/>
                <w:sz w:val="18"/>
                <w:szCs w:val="18"/>
              </w:rPr>
              <w:t>海富通新内需灵活配置混合型证券投资基金</w:t>
            </w:r>
          </w:p>
        </w:tc>
      </w:tr>
    </w:tbl>
    <w:p w:rsidR="007B6C54" w:rsidRPr="007B6C54" w:rsidRDefault="007B6C54" w:rsidP="007B6C54">
      <w:pPr>
        <w:pStyle w:val="HTML"/>
      </w:pPr>
    </w:p>
    <w:sectPr w:rsidR="007B6C54" w:rsidRPr="007B6C54" w:rsidSect="00FC7229">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D01" w:rsidRDefault="00BC3D01" w:rsidP="00DE1982">
      <w:r>
        <w:separator/>
      </w:r>
    </w:p>
  </w:endnote>
  <w:endnote w:type="continuationSeparator" w:id="1">
    <w:p w:rsidR="00BC3D01" w:rsidRDefault="00BC3D01" w:rsidP="00DE19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D01" w:rsidRDefault="00BC3D01" w:rsidP="00DE1982">
      <w:r>
        <w:separator/>
      </w:r>
    </w:p>
  </w:footnote>
  <w:footnote w:type="continuationSeparator" w:id="1">
    <w:p w:rsidR="00BC3D01" w:rsidRDefault="00BC3D01" w:rsidP="00DE19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6F94"/>
    <w:rsid w:val="000442A8"/>
    <w:rsid w:val="00093CDA"/>
    <w:rsid w:val="000E3F78"/>
    <w:rsid w:val="00101AAD"/>
    <w:rsid w:val="00116F94"/>
    <w:rsid w:val="002265E3"/>
    <w:rsid w:val="0029484A"/>
    <w:rsid w:val="004646A9"/>
    <w:rsid w:val="004804DB"/>
    <w:rsid w:val="005211AA"/>
    <w:rsid w:val="005A3EEC"/>
    <w:rsid w:val="005E6F80"/>
    <w:rsid w:val="0065505C"/>
    <w:rsid w:val="006840F5"/>
    <w:rsid w:val="006B4499"/>
    <w:rsid w:val="007B6C54"/>
    <w:rsid w:val="00856D7A"/>
    <w:rsid w:val="00867518"/>
    <w:rsid w:val="009E3617"/>
    <w:rsid w:val="00B74674"/>
    <w:rsid w:val="00BC3D01"/>
    <w:rsid w:val="00C947E2"/>
    <w:rsid w:val="00D26F49"/>
    <w:rsid w:val="00D934BB"/>
    <w:rsid w:val="00DE1982"/>
    <w:rsid w:val="00E255A1"/>
    <w:rsid w:val="00E5014A"/>
    <w:rsid w:val="00F70202"/>
    <w:rsid w:val="00FC72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F94"/>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116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0"/>
    <w:link w:val="HTML"/>
    <w:uiPriority w:val="99"/>
    <w:rsid w:val="00116F94"/>
    <w:rPr>
      <w:rFonts w:ascii="宋体" w:eastAsia="宋体" w:hAnsi="宋体" w:cs="宋体"/>
      <w:kern w:val="0"/>
      <w:sz w:val="24"/>
      <w:szCs w:val="24"/>
    </w:rPr>
  </w:style>
  <w:style w:type="paragraph" w:styleId="a3">
    <w:name w:val="header"/>
    <w:basedOn w:val="a"/>
    <w:link w:val="Char"/>
    <w:uiPriority w:val="99"/>
    <w:semiHidden/>
    <w:unhideWhenUsed/>
    <w:rsid w:val="00DE19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1982"/>
    <w:rPr>
      <w:rFonts w:ascii="宋体" w:eastAsia="宋体" w:hAnsi="宋体" w:cs="宋体"/>
      <w:kern w:val="0"/>
      <w:sz w:val="18"/>
      <w:szCs w:val="18"/>
    </w:rPr>
  </w:style>
  <w:style w:type="paragraph" w:styleId="a4">
    <w:name w:val="footer"/>
    <w:basedOn w:val="a"/>
    <w:link w:val="Char0"/>
    <w:uiPriority w:val="99"/>
    <w:semiHidden/>
    <w:unhideWhenUsed/>
    <w:rsid w:val="00DE1982"/>
    <w:pPr>
      <w:tabs>
        <w:tab w:val="center" w:pos="4153"/>
        <w:tab w:val="right" w:pos="8306"/>
      </w:tabs>
      <w:snapToGrid w:val="0"/>
    </w:pPr>
    <w:rPr>
      <w:sz w:val="18"/>
      <w:szCs w:val="18"/>
    </w:rPr>
  </w:style>
  <w:style w:type="character" w:customStyle="1" w:styleId="Char0">
    <w:name w:val="页脚 Char"/>
    <w:basedOn w:val="a0"/>
    <w:link w:val="a4"/>
    <w:uiPriority w:val="99"/>
    <w:semiHidden/>
    <w:rsid w:val="00DE1982"/>
    <w:rPr>
      <w:rFonts w:ascii="宋体" w:eastAsia="宋体" w:hAnsi="宋体" w:cs="宋体"/>
      <w:kern w:val="0"/>
      <w:sz w:val="18"/>
      <w:szCs w:val="18"/>
    </w:rPr>
  </w:style>
  <w:style w:type="paragraph" w:styleId="a5">
    <w:name w:val="Balloon Text"/>
    <w:basedOn w:val="a"/>
    <w:link w:val="Char1"/>
    <w:uiPriority w:val="99"/>
    <w:semiHidden/>
    <w:unhideWhenUsed/>
    <w:rsid w:val="00E5014A"/>
    <w:rPr>
      <w:sz w:val="18"/>
      <w:szCs w:val="18"/>
    </w:rPr>
  </w:style>
  <w:style w:type="character" w:customStyle="1" w:styleId="Char1">
    <w:name w:val="批注框文本 Char"/>
    <w:basedOn w:val="a0"/>
    <w:link w:val="a5"/>
    <w:uiPriority w:val="99"/>
    <w:semiHidden/>
    <w:rsid w:val="00E5014A"/>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337</Words>
  <Characters>1923</Characters>
  <Application>Microsoft Office Word</Application>
  <DocSecurity>0</DocSecurity>
  <Lines>16</Lines>
  <Paragraphs>4</Paragraphs>
  <ScaleCrop>false</ScaleCrop>
  <Company>hftfund</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qwxu</dc:creator>
  <cp:keywords/>
  <dc:description/>
  <cp:lastModifiedBy>qwxu</cp:lastModifiedBy>
  <cp:revision>6</cp:revision>
  <dcterms:created xsi:type="dcterms:W3CDTF">2015-12-31T07:32:00Z</dcterms:created>
  <dcterms:modified xsi:type="dcterms:W3CDTF">2015-12-31T08:27:00Z</dcterms:modified>
</cp:coreProperties>
</file>