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0F" w:rsidRDefault="00662B0F" w:rsidP="00662B0F">
      <w:pPr>
        <w:pStyle w:val="Default"/>
      </w:pPr>
    </w:p>
    <w:p w:rsidR="00662B0F" w:rsidRPr="00BC722C" w:rsidRDefault="0037113B" w:rsidP="005258A4">
      <w:pPr>
        <w:widowControl/>
        <w:adjustRightInd w:val="0"/>
        <w:snapToGrid w:val="0"/>
        <w:jc w:val="center"/>
        <w:rPr>
          <w:rFonts w:ascii="宋体" w:eastAsia="宋体" w:hAnsi="宋体" w:cs="宋体"/>
          <w:b/>
          <w:color w:val="000000"/>
          <w:kern w:val="0"/>
          <w:sz w:val="28"/>
          <w:szCs w:val="28"/>
        </w:rPr>
      </w:pPr>
      <w:r w:rsidRPr="0037113B">
        <w:rPr>
          <w:rFonts w:ascii="宋体" w:eastAsia="宋体" w:hAnsi="宋体" w:cs="宋体" w:hint="eastAsia"/>
          <w:b/>
          <w:color w:val="000000"/>
          <w:kern w:val="0"/>
          <w:sz w:val="28"/>
          <w:szCs w:val="28"/>
        </w:rPr>
        <w:t>信诚中证800有色指数分级证券投资基金</w:t>
      </w:r>
    </w:p>
    <w:p w:rsidR="00662B0F" w:rsidRPr="00BC722C" w:rsidRDefault="00662B0F" w:rsidP="005258A4">
      <w:pPr>
        <w:widowControl/>
        <w:adjustRightInd w:val="0"/>
        <w:snapToGrid w:val="0"/>
        <w:jc w:val="center"/>
        <w:rPr>
          <w:rFonts w:ascii="宋体" w:eastAsia="宋体" w:hAnsi="宋体" w:cs="宋体"/>
          <w:b/>
          <w:color w:val="000000"/>
          <w:kern w:val="0"/>
          <w:sz w:val="28"/>
          <w:szCs w:val="28"/>
        </w:rPr>
      </w:pPr>
      <w:r w:rsidRPr="00BC722C">
        <w:rPr>
          <w:rFonts w:ascii="宋体" w:eastAsia="宋体" w:hAnsi="宋体" w:cs="宋体" w:hint="eastAsia"/>
          <w:b/>
          <w:color w:val="000000"/>
          <w:kern w:val="0"/>
          <w:sz w:val="28"/>
          <w:szCs w:val="28"/>
        </w:rPr>
        <w:t>可能发生不定期份额折算的</w:t>
      </w:r>
      <w:r w:rsidR="00501B20">
        <w:rPr>
          <w:rFonts w:ascii="宋体" w:eastAsia="宋体" w:hAnsi="宋体" w:cs="宋体" w:hint="eastAsia"/>
          <w:b/>
          <w:color w:val="000000"/>
          <w:kern w:val="0"/>
          <w:sz w:val="28"/>
          <w:szCs w:val="28"/>
        </w:rPr>
        <w:t>风险</w:t>
      </w:r>
      <w:r w:rsidRPr="00BC722C">
        <w:rPr>
          <w:rFonts w:ascii="宋体" w:eastAsia="宋体" w:hAnsi="宋体" w:cs="宋体" w:hint="eastAsia"/>
          <w:b/>
          <w:color w:val="000000"/>
          <w:kern w:val="0"/>
          <w:sz w:val="28"/>
          <w:szCs w:val="28"/>
        </w:rPr>
        <w:t>提示公告</w:t>
      </w:r>
    </w:p>
    <w:p w:rsidR="005258A4" w:rsidRPr="000C49CF" w:rsidRDefault="005258A4" w:rsidP="000C49CF">
      <w:pPr>
        <w:spacing w:line="360" w:lineRule="auto"/>
        <w:ind w:firstLineChars="200" w:firstLine="420"/>
        <w:rPr>
          <w:rFonts w:ascii="宋体" w:eastAsia="宋体" w:hAnsi="宋体" w:cs="宋体"/>
          <w:kern w:val="0"/>
          <w:szCs w:val="21"/>
        </w:rPr>
      </w:pPr>
    </w:p>
    <w:p w:rsidR="00662B0F" w:rsidRPr="00D8092F" w:rsidRDefault="00662B0F" w:rsidP="006550EE">
      <w:pPr>
        <w:spacing w:line="360" w:lineRule="auto"/>
        <w:ind w:firstLineChars="200" w:firstLine="420"/>
        <w:rPr>
          <w:rFonts w:ascii="宋体" w:eastAsia="宋体" w:hAnsi="宋体" w:cs="宋体"/>
          <w:kern w:val="0"/>
          <w:szCs w:val="21"/>
        </w:rPr>
      </w:pPr>
      <w:r w:rsidRPr="005258A4">
        <w:rPr>
          <w:rFonts w:ascii="宋体" w:eastAsia="宋体" w:hAnsi="宋体" w:cs="宋体" w:hint="eastAsia"/>
          <w:kern w:val="0"/>
          <w:szCs w:val="21"/>
        </w:rPr>
        <w:t>根据《</w:t>
      </w:r>
      <w:r w:rsidR="0037113B" w:rsidRPr="0037113B">
        <w:rPr>
          <w:rFonts w:ascii="宋体" w:eastAsia="宋体" w:hAnsi="宋体" w:cs="宋体" w:hint="eastAsia"/>
          <w:kern w:val="0"/>
          <w:szCs w:val="21"/>
        </w:rPr>
        <w:t>信诚中证800有色指数分级证券投资基金</w:t>
      </w:r>
      <w:r w:rsidRPr="00D8092F">
        <w:rPr>
          <w:rFonts w:ascii="宋体" w:eastAsia="宋体" w:hAnsi="宋体" w:cs="宋体" w:hint="eastAsia"/>
          <w:kern w:val="0"/>
          <w:szCs w:val="21"/>
        </w:rPr>
        <w:t>基金合同》关于不定期份额折算的相关规定，</w:t>
      </w:r>
      <w:r w:rsidR="00AF093E" w:rsidRPr="00D8092F">
        <w:rPr>
          <w:rFonts w:ascii="宋体" w:eastAsia="宋体" w:hAnsi="宋体" w:cs="宋体" w:hint="eastAsia"/>
          <w:kern w:val="0"/>
          <w:szCs w:val="21"/>
        </w:rPr>
        <w:t>当</w:t>
      </w:r>
      <w:r w:rsidR="0037113B" w:rsidRPr="0037113B">
        <w:rPr>
          <w:rFonts w:ascii="宋体" w:eastAsia="宋体" w:hAnsi="宋体" w:cs="宋体" w:hint="eastAsia"/>
          <w:kern w:val="0"/>
          <w:szCs w:val="21"/>
        </w:rPr>
        <w:t>信诚中证800有色指数分级证券投资基金</w:t>
      </w:r>
      <w:r w:rsidR="00E5643D" w:rsidRPr="00E5643D">
        <w:rPr>
          <w:rFonts w:ascii="宋体" w:eastAsia="宋体" w:hAnsi="宋体" w:cs="宋体" w:hint="eastAsia"/>
          <w:kern w:val="0"/>
          <w:szCs w:val="21"/>
        </w:rPr>
        <w:t>（以下简称“本基金”）</w:t>
      </w:r>
      <w:r w:rsidR="00AF093E" w:rsidRPr="00D8092F">
        <w:rPr>
          <w:rFonts w:ascii="宋体" w:eastAsia="宋体" w:hAnsi="宋体" w:cs="宋体" w:hint="eastAsia"/>
          <w:kern w:val="0"/>
          <w:szCs w:val="21"/>
        </w:rPr>
        <w:t>之</w:t>
      </w:r>
      <w:r w:rsidR="00AF093E" w:rsidRPr="00D8092F">
        <w:rPr>
          <w:rFonts w:ascii="宋体" w:eastAsia="宋体" w:hAnsi="宋体" w:cs="宋体"/>
          <w:kern w:val="0"/>
          <w:szCs w:val="21"/>
        </w:rPr>
        <w:t>B</w:t>
      </w:r>
      <w:r w:rsidR="00AF093E" w:rsidRPr="00D8092F">
        <w:rPr>
          <w:rFonts w:ascii="宋体" w:eastAsia="宋体" w:hAnsi="宋体" w:cs="宋体" w:hint="eastAsia"/>
          <w:kern w:val="0"/>
          <w:szCs w:val="21"/>
        </w:rPr>
        <w:t>份额的基金份额净值小于或等于0.250元时，</w:t>
      </w:r>
      <w:r w:rsidR="00E5643D" w:rsidRPr="00E5643D">
        <w:rPr>
          <w:rFonts w:ascii="宋体" w:eastAsia="宋体" w:hAnsi="宋体" w:cs="宋体" w:hint="eastAsia"/>
          <w:kern w:val="0"/>
          <w:szCs w:val="21"/>
        </w:rPr>
        <w:t>本基金将在基金份额折算日分别对</w:t>
      </w:r>
      <w:r w:rsidR="009A5683" w:rsidRPr="00C65574">
        <w:rPr>
          <w:rFonts w:ascii="宋体" w:hAnsi="宋体" w:hint="eastAsia"/>
          <w:szCs w:val="21"/>
        </w:rPr>
        <w:t>信诚有色份额</w:t>
      </w:r>
      <w:r w:rsidR="009A5683" w:rsidRPr="00D8092F">
        <w:rPr>
          <w:rFonts w:ascii="宋体" w:eastAsia="宋体" w:hAnsi="宋体" w:cs="宋体" w:hint="eastAsia"/>
          <w:kern w:val="0"/>
          <w:szCs w:val="21"/>
        </w:rPr>
        <w:t>（场内简称：</w:t>
      </w:r>
      <w:r w:rsidR="009A5683" w:rsidRPr="00C40877">
        <w:rPr>
          <w:rFonts w:ascii="宋体" w:eastAsia="宋体" w:hAnsi="宋体" w:cs="宋体" w:hint="eastAsia"/>
          <w:kern w:val="0"/>
          <w:szCs w:val="21"/>
        </w:rPr>
        <w:t>信诚</w:t>
      </w:r>
      <w:r w:rsidR="009A5683">
        <w:rPr>
          <w:rFonts w:ascii="宋体" w:eastAsia="宋体" w:hAnsi="宋体" w:cs="宋体" w:hint="eastAsia"/>
          <w:kern w:val="0"/>
          <w:szCs w:val="21"/>
        </w:rPr>
        <w:t>有色</w:t>
      </w:r>
      <w:r w:rsidR="009A5683" w:rsidRPr="00D8092F">
        <w:rPr>
          <w:rFonts w:ascii="宋体" w:eastAsia="宋体" w:hAnsi="宋体" w:cs="宋体" w:hint="eastAsia"/>
          <w:kern w:val="0"/>
          <w:szCs w:val="21"/>
        </w:rPr>
        <w:t>，基础份额）</w:t>
      </w:r>
      <w:r w:rsidR="009A5683" w:rsidRPr="00C65574">
        <w:rPr>
          <w:rFonts w:ascii="宋体" w:hAnsi="宋体" w:hint="eastAsia"/>
          <w:szCs w:val="21"/>
        </w:rPr>
        <w:t>、信诚有色A份额</w:t>
      </w:r>
      <w:r w:rsidR="009A5683" w:rsidRPr="00D8092F">
        <w:rPr>
          <w:rFonts w:ascii="宋体" w:eastAsia="宋体" w:hAnsi="宋体" w:cs="宋体" w:hint="eastAsia"/>
          <w:kern w:val="0"/>
          <w:szCs w:val="21"/>
        </w:rPr>
        <w:t>（场内简称：</w:t>
      </w:r>
      <w:r w:rsidR="009A5683">
        <w:rPr>
          <w:rFonts w:ascii="宋体" w:hAnsi="宋体" w:hint="eastAsia"/>
          <w:szCs w:val="21"/>
        </w:rPr>
        <w:t>有色</w:t>
      </w:r>
      <w:r w:rsidR="009A5683">
        <w:rPr>
          <w:rFonts w:ascii="宋体" w:hAnsi="宋体"/>
          <w:szCs w:val="21"/>
        </w:rPr>
        <w:t>800A</w:t>
      </w:r>
      <w:r w:rsidR="009A5683" w:rsidRPr="00D8092F">
        <w:rPr>
          <w:rFonts w:ascii="宋体" w:eastAsia="宋体" w:hAnsi="宋体" w:cs="宋体" w:hint="eastAsia"/>
          <w:kern w:val="0"/>
          <w:szCs w:val="21"/>
        </w:rPr>
        <w:t>）</w:t>
      </w:r>
      <w:r w:rsidR="009A5683" w:rsidRPr="00C65574">
        <w:rPr>
          <w:rFonts w:ascii="宋体" w:hAnsi="宋体" w:hint="eastAsia"/>
          <w:szCs w:val="21"/>
        </w:rPr>
        <w:t>和信诚有色B份额</w:t>
      </w:r>
      <w:r w:rsidR="009A5683" w:rsidRPr="00D8092F">
        <w:rPr>
          <w:rFonts w:ascii="宋体" w:eastAsia="宋体" w:hAnsi="宋体" w:cs="宋体" w:hint="eastAsia"/>
          <w:kern w:val="0"/>
          <w:szCs w:val="21"/>
        </w:rPr>
        <w:t>（场内简称：</w:t>
      </w:r>
      <w:r w:rsidR="009A5683">
        <w:rPr>
          <w:rFonts w:ascii="宋体" w:hAnsi="宋体" w:hint="eastAsia"/>
          <w:szCs w:val="21"/>
        </w:rPr>
        <w:t>有色</w:t>
      </w:r>
      <w:r w:rsidR="009A5683">
        <w:rPr>
          <w:rFonts w:ascii="宋体" w:hAnsi="宋体"/>
          <w:szCs w:val="21"/>
        </w:rPr>
        <w:t>800B</w:t>
      </w:r>
      <w:r w:rsidR="009A5683" w:rsidRPr="00D8092F">
        <w:rPr>
          <w:rFonts w:ascii="宋体" w:eastAsia="宋体" w:hAnsi="宋体" w:cs="宋体" w:hint="eastAsia"/>
          <w:kern w:val="0"/>
          <w:szCs w:val="21"/>
        </w:rPr>
        <w:t>）</w:t>
      </w:r>
      <w:r w:rsidR="00AF093E" w:rsidRPr="00D8092F">
        <w:rPr>
          <w:rFonts w:ascii="宋体" w:eastAsia="宋体" w:hAnsi="宋体" w:cs="宋体" w:hint="eastAsia"/>
          <w:kern w:val="0"/>
          <w:szCs w:val="21"/>
        </w:rPr>
        <w:t>进行不定期份额折算。</w:t>
      </w:r>
    </w:p>
    <w:p w:rsidR="00662B0F" w:rsidRPr="005258A4" w:rsidRDefault="00662B0F" w:rsidP="006550EE">
      <w:pPr>
        <w:spacing w:line="360" w:lineRule="auto"/>
        <w:ind w:firstLineChars="200" w:firstLine="420"/>
        <w:rPr>
          <w:rFonts w:ascii="宋体" w:eastAsia="宋体" w:hAnsi="宋体" w:cs="宋体"/>
          <w:kern w:val="0"/>
          <w:szCs w:val="21"/>
        </w:rPr>
      </w:pPr>
      <w:r w:rsidRPr="00D8092F">
        <w:rPr>
          <w:rFonts w:ascii="宋体" w:eastAsia="宋体" w:hAnsi="宋体" w:cs="宋体" w:hint="eastAsia"/>
          <w:kern w:val="0"/>
          <w:szCs w:val="21"/>
        </w:rPr>
        <w:t>由于近期</w:t>
      </w:r>
      <w:r w:rsidRPr="00D8092F">
        <w:rPr>
          <w:rFonts w:ascii="宋体" w:eastAsia="宋体" w:hAnsi="宋体" w:cs="宋体"/>
          <w:kern w:val="0"/>
          <w:szCs w:val="21"/>
        </w:rPr>
        <w:t>A</w:t>
      </w:r>
      <w:r w:rsidRPr="00D8092F">
        <w:rPr>
          <w:rFonts w:ascii="宋体" w:eastAsia="宋体" w:hAnsi="宋体" w:cs="宋体" w:hint="eastAsia"/>
          <w:kern w:val="0"/>
          <w:szCs w:val="21"/>
        </w:rPr>
        <w:t>股市场波动较大，截至</w:t>
      </w:r>
      <w:r w:rsidR="005D2F2C" w:rsidRPr="00D8092F">
        <w:rPr>
          <w:rFonts w:ascii="宋体" w:eastAsia="宋体" w:hAnsi="宋体" w:cs="宋体" w:hint="eastAsia"/>
          <w:kern w:val="0"/>
          <w:szCs w:val="21"/>
        </w:rPr>
        <w:t>2015年</w:t>
      </w:r>
      <w:r w:rsidR="009A5683">
        <w:rPr>
          <w:rFonts w:ascii="宋体" w:eastAsia="宋体" w:hAnsi="宋体" w:cs="宋体" w:hint="eastAsia"/>
          <w:kern w:val="0"/>
          <w:szCs w:val="21"/>
        </w:rPr>
        <w:t>7月7日</w:t>
      </w:r>
      <w:r w:rsidRPr="00D8092F">
        <w:rPr>
          <w:rFonts w:ascii="宋体" w:eastAsia="宋体" w:hAnsi="宋体" w:cs="宋体" w:hint="eastAsia"/>
          <w:kern w:val="0"/>
          <w:szCs w:val="21"/>
        </w:rPr>
        <w:t>，</w:t>
      </w:r>
      <w:r w:rsidR="004A2BA2">
        <w:rPr>
          <w:rFonts w:ascii="宋体" w:hAnsi="宋体" w:hint="eastAsia"/>
          <w:szCs w:val="21"/>
        </w:rPr>
        <w:t>有色</w:t>
      </w:r>
      <w:r w:rsidR="004A2BA2">
        <w:rPr>
          <w:rFonts w:ascii="宋体" w:hAnsi="宋体"/>
          <w:szCs w:val="21"/>
        </w:rPr>
        <w:t>800B</w:t>
      </w:r>
      <w:r w:rsidRPr="005258A4">
        <w:rPr>
          <w:rFonts w:ascii="宋体" w:eastAsia="宋体" w:hAnsi="宋体" w:cs="宋体" w:hint="eastAsia"/>
          <w:kern w:val="0"/>
          <w:szCs w:val="21"/>
        </w:rPr>
        <w:t>的基金份额净值接近基金合同规定的不定期份额折算的阀值</w:t>
      </w:r>
      <w:r w:rsidR="00363D5B" w:rsidRPr="000C49CF">
        <w:rPr>
          <w:rFonts w:ascii="宋体" w:eastAsia="宋体" w:hAnsi="宋体" w:cs="宋体" w:hint="eastAsia"/>
          <w:kern w:val="0"/>
          <w:szCs w:val="21"/>
        </w:rPr>
        <w:t>0.250</w:t>
      </w:r>
      <w:r w:rsidRPr="005258A4">
        <w:rPr>
          <w:rFonts w:ascii="宋体" w:eastAsia="宋体" w:hAnsi="宋体" w:cs="宋体" w:hint="eastAsia"/>
          <w:kern w:val="0"/>
          <w:szCs w:val="21"/>
        </w:rPr>
        <w:t>元，在此提请投资者密切关注</w:t>
      </w:r>
      <w:r w:rsidR="00C73401">
        <w:rPr>
          <w:rFonts w:ascii="宋体" w:hAnsi="宋体" w:hint="eastAsia"/>
          <w:szCs w:val="21"/>
        </w:rPr>
        <w:t>有色</w:t>
      </w:r>
      <w:r w:rsidR="00C73401">
        <w:rPr>
          <w:rFonts w:ascii="宋体" w:hAnsi="宋体"/>
          <w:szCs w:val="21"/>
        </w:rPr>
        <w:t>800B</w:t>
      </w:r>
      <w:bookmarkStart w:id="0" w:name="_GoBack"/>
      <w:bookmarkEnd w:id="0"/>
      <w:r w:rsidR="002B3D04" w:rsidRPr="005258A4">
        <w:rPr>
          <w:rFonts w:ascii="宋体" w:eastAsia="宋体" w:hAnsi="宋体" w:cs="宋体" w:hint="eastAsia"/>
          <w:kern w:val="0"/>
          <w:szCs w:val="21"/>
        </w:rPr>
        <w:t>份额</w:t>
      </w:r>
      <w:r w:rsidRPr="005258A4">
        <w:rPr>
          <w:rFonts w:ascii="宋体" w:eastAsia="宋体" w:hAnsi="宋体" w:cs="宋体" w:hint="eastAsia"/>
          <w:kern w:val="0"/>
          <w:szCs w:val="21"/>
        </w:rPr>
        <w:t>近期净值的波动情况</w:t>
      </w:r>
      <w:r w:rsidR="00363D5B" w:rsidRPr="000C49CF">
        <w:rPr>
          <w:rFonts w:ascii="宋体" w:eastAsia="宋体" w:hAnsi="宋体" w:cs="宋体" w:hint="eastAsia"/>
          <w:kern w:val="0"/>
          <w:szCs w:val="21"/>
        </w:rPr>
        <w:t>，并警惕可能出现的风险</w:t>
      </w:r>
      <w:r w:rsidRPr="005258A4">
        <w:rPr>
          <w:rFonts w:ascii="宋体" w:eastAsia="宋体" w:hAnsi="宋体" w:cs="宋体" w:hint="eastAsia"/>
          <w:kern w:val="0"/>
          <w:szCs w:val="21"/>
        </w:rPr>
        <w:t>。</w:t>
      </w:r>
    </w:p>
    <w:p w:rsidR="00124052" w:rsidRDefault="00662B0F" w:rsidP="006550EE">
      <w:pPr>
        <w:spacing w:line="360" w:lineRule="auto"/>
        <w:ind w:firstLineChars="200" w:firstLine="420"/>
        <w:rPr>
          <w:rFonts w:ascii="宋体" w:eastAsia="宋体" w:hAnsi="宋体" w:cs="宋体"/>
          <w:kern w:val="0"/>
          <w:szCs w:val="21"/>
        </w:rPr>
      </w:pPr>
      <w:r w:rsidRPr="005258A4">
        <w:rPr>
          <w:rFonts w:ascii="宋体" w:eastAsia="宋体" w:hAnsi="宋体" w:cs="宋体" w:hint="eastAsia"/>
          <w:kern w:val="0"/>
          <w:szCs w:val="21"/>
        </w:rPr>
        <w:t>针对可能发生的不定期份额折算，本基金管理人特别提示如下：</w:t>
      </w:r>
    </w:p>
    <w:p w:rsidR="00741E85" w:rsidRPr="000C49CF" w:rsidRDefault="00F8284B" w:rsidP="006550E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一、</w:t>
      </w:r>
      <w:r w:rsidR="00741E85" w:rsidRPr="000C49CF">
        <w:rPr>
          <w:rFonts w:ascii="宋体" w:eastAsia="宋体" w:hAnsi="宋体" w:cs="宋体" w:hint="eastAsia"/>
          <w:kern w:val="0"/>
          <w:szCs w:val="21"/>
        </w:rPr>
        <w:t>由于</w:t>
      </w:r>
      <w:r w:rsidR="004A2BA2">
        <w:rPr>
          <w:rFonts w:ascii="宋体" w:hAnsi="宋体" w:hint="eastAsia"/>
          <w:szCs w:val="21"/>
        </w:rPr>
        <w:t>有色</w:t>
      </w:r>
      <w:r w:rsidR="004A2BA2">
        <w:rPr>
          <w:rFonts w:ascii="宋体" w:hAnsi="宋体"/>
          <w:szCs w:val="21"/>
        </w:rPr>
        <w:t>800A</w:t>
      </w:r>
      <w:r w:rsidR="00741E85" w:rsidRPr="000C49CF">
        <w:rPr>
          <w:rFonts w:ascii="宋体" w:eastAsia="宋体" w:hAnsi="宋体" w:cs="宋体" w:hint="eastAsia"/>
          <w:kern w:val="0"/>
          <w:szCs w:val="21"/>
        </w:rPr>
        <w:t>份额、</w:t>
      </w:r>
      <w:r w:rsidR="004A2BA2">
        <w:rPr>
          <w:rFonts w:ascii="宋体" w:hAnsi="宋体" w:hint="eastAsia"/>
          <w:szCs w:val="21"/>
        </w:rPr>
        <w:t>有色</w:t>
      </w:r>
      <w:r w:rsidR="004A2BA2">
        <w:rPr>
          <w:rFonts w:ascii="宋体" w:hAnsi="宋体"/>
          <w:szCs w:val="21"/>
        </w:rPr>
        <w:t>800B</w:t>
      </w:r>
      <w:r w:rsidR="00741E85" w:rsidRPr="000C49CF">
        <w:rPr>
          <w:rFonts w:ascii="宋体" w:eastAsia="宋体" w:hAnsi="宋体" w:cs="宋体" w:hint="eastAsia"/>
          <w:kern w:val="0"/>
          <w:szCs w:val="21"/>
        </w:rPr>
        <w:t>份额在不定期折算前可能存在折溢价交易情形</w:t>
      </w:r>
      <w:r w:rsidR="00655D54">
        <w:rPr>
          <w:rFonts w:ascii="宋体" w:eastAsia="宋体" w:hAnsi="宋体" w:cs="宋体" w:hint="eastAsia"/>
          <w:kern w:val="0"/>
          <w:szCs w:val="21"/>
        </w:rPr>
        <w:t>，</w:t>
      </w:r>
      <w:r w:rsidR="00741E85" w:rsidRPr="000C49CF">
        <w:rPr>
          <w:rFonts w:ascii="宋体" w:eastAsia="宋体" w:hAnsi="宋体" w:cs="宋体" w:hint="eastAsia"/>
          <w:kern w:val="0"/>
          <w:szCs w:val="21"/>
        </w:rPr>
        <w:t>不定期份额折算后，其折溢价率可能发生</w:t>
      </w:r>
      <w:r w:rsidR="00221F98" w:rsidRPr="000C49CF">
        <w:rPr>
          <w:rFonts w:ascii="宋体" w:eastAsia="宋体" w:hAnsi="宋体" w:cs="宋体" w:hint="eastAsia"/>
          <w:kern w:val="0"/>
          <w:szCs w:val="21"/>
        </w:rPr>
        <w:t>较大</w:t>
      </w:r>
      <w:r w:rsidR="00741E85" w:rsidRPr="000C49CF">
        <w:rPr>
          <w:rFonts w:ascii="宋体" w:eastAsia="宋体" w:hAnsi="宋体" w:cs="宋体" w:hint="eastAsia"/>
          <w:kern w:val="0"/>
          <w:szCs w:val="21"/>
        </w:rPr>
        <w:t>变化。特提醒参与二级市场交易的投资者注意折溢价所带来的风险。</w:t>
      </w:r>
    </w:p>
    <w:p w:rsidR="004F0EE6" w:rsidRPr="00A82C19" w:rsidRDefault="00F8284B" w:rsidP="004F0EE6">
      <w:pPr>
        <w:spacing w:line="360" w:lineRule="auto"/>
        <w:ind w:firstLine="403"/>
        <w:rPr>
          <w:szCs w:val="21"/>
        </w:rPr>
      </w:pPr>
      <w:r>
        <w:rPr>
          <w:rFonts w:ascii="宋体" w:eastAsia="宋体" w:hAnsi="宋体" w:cs="宋体" w:hint="eastAsia"/>
          <w:kern w:val="0"/>
          <w:szCs w:val="21"/>
        </w:rPr>
        <w:t>二、</w:t>
      </w:r>
      <w:r w:rsidR="004A2BA2">
        <w:rPr>
          <w:rFonts w:ascii="宋体" w:hAnsi="宋体" w:hint="eastAsia"/>
          <w:szCs w:val="21"/>
        </w:rPr>
        <w:t>有色</w:t>
      </w:r>
      <w:r w:rsidR="004A2BA2">
        <w:rPr>
          <w:rFonts w:ascii="宋体" w:hAnsi="宋体"/>
          <w:szCs w:val="21"/>
        </w:rPr>
        <w:t>800B</w:t>
      </w:r>
      <w:r w:rsidR="00F83E6A" w:rsidRPr="000C49CF">
        <w:rPr>
          <w:rFonts w:ascii="宋体" w:eastAsia="宋体" w:hAnsi="宋体" w:cs="宋体"/>
          <w:kern w:val="0"/>
          <w:szCs w:val="21"/>
        </w:rPr>
        <w:t>份额</w:t>
      </w:r>
      <w:r w:rsidRPr="000C49CF">
        <w:rPr>
          <w:rFonts w:ascii="宋体" w:eastAsia="宋体" w:hAnsi="宋体" w:cs="宋体"/>
          <w:kern w:val="0"/>
          <w:szCs w:val="21"/>
        </w:rPr>
        <w:t>具有预期风险、预期收益较高的特征</w:t>
      </w:r>
      <w:r w:rsidR="00FA5E35">
        <w:rPr>
          <w:rFonts w:ascii="宋体" w:eastAsia="宋体" w:hAnsi="宋体" w:cs="宋体" w:hint="eastAsia"/>
          <w:kern w:val="0"/>
          <w:szCs w:val="21"/>
        </w:rPr>
        <w:t>。</w:t>
      </w:r>
      <w:r w:rsidR="004F0EE6" w:rsidRPr="00A82C19">
        <w:rPr>
          <w:rFonts w:hint="eastAsia"/>
          <w:szCs w:val="21"/>
        </w:rPr>
        <w:t>不定期份额折算后其杠杆倍数将大幅降低，将恢复到初始杠杆水平</w:t>
      </w:r>
      <w:r w:rsidR="00A62EFE">
        <w:rPr>
          <w:rFonts w:hint="eastAsia"/>
          <w:szCs w:val="21"/>
        </w:rPr>
        <w:t>。</w:t>
      </w:r>
      <w:r w:rsidR="004F0EE6" w:rsidRPr="00A82C19">
        <w:rPr>
          <w:rFonts w:hint="eastAsia"/>
          <w:szCs w:val="21"/>
        </w:rPr>
        <w:t>相应地，</w:t>
      </w:r>
      <w:r w:rsidR="004F0EE6">
        <w:rPr>
          <w:rFonts w:ascii="宋体" w:hAnsi="宋体" w:hint="eastAsia"/>
          <w:szCs w:val="21"/>
        </w:rPr>
        <w:t>有色</w:t>
      </w:r>
      <w:r w:rsidR="004F0EE6">
        <w:rPr>
          <w:rFonts w:ascii="宋体" w:hAnsi="宋体"/>
          <w:szCs w:val="21"/>
        </w:rPr>
        <w:t>800B</w:t>
      </w:r>
      <w:r w:rsidR="004F0EE6" w:rsidRPr="00A82C19">
        <w:rPr>
          <w:rFonts w:hint="eastAsia"/>
          <w:szCs w:val="21"/>
        </w:rPr>
        <w:t>份额净值随市场涨跌而增长或者下降的幅度也会大幅减小。</w:t>
      </w:r>
    </w:p>
    <w:p w:rsidR="00384F41" w:rsidRPr="006550EE" w:rsidRDefault="00BD7392" w:rsidP="006550E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三</w:t>
      </w:r>
      <w:r w:rsidR="00662B0F" w:rsidRPr="005258A4">
        <w:rPr>
          <w:rFonts w:ascii="宋体" w:eastAsia="宋体" w:hAnsi="宋体" w:cs="宋体" w:hint="eastAsia"/>
          <w:kern w:val="0"/>
          <w:szCs w:val="21"/>
        </w:rPr>
        <w:t>、</w:t>
      </w:r>
      <w:r w:rsidR="004A2BA2">
        <w:rPr>
          <w:rFonts w:ascii="宋体" w:hAnsi="宋体" w:hint="eastAsia"/>
          <w:szCs w:val="21"/>
        </w:rPr>
        <w:t>有色</w:t>
      </w:r>
      <w:r w:rsidR="004A2BA2">
        <w:rPr>
          <w:rFonts w:ascii="宋体" w:hAnsi="宋体"/>
          <w:szCs w:val="21"/>
        </w:rPr>
        <w:t>800A</w:t>
      </w:r>
      <w:r w:rsidR="005D2F2C" w:rsidRPr="000C49CF">
        <w:rPr>
          <w:rFonts w:ascii="宋体" w:eastAsia="宋体" w:hAnsi="宋体" w:cs="宋体"/>
          <w:kern w:val="0"/>
          <w:szCs w:val="21"/>
        </w:rPr>
        <w:t>份额具有预期风险、预期收益较低的特征</w:t>
      </w:r>
      <w:r w:rsidR="00662B0F" w:rsidRPr="005258A4">
        <w:rPr>
          <w:rFonts w:ascii="宋体" w:eastAsia="宋体" w:hAnsi="宋体" w:cs="宋体" w:hint="eastAsia"/>
          <w:kern w:val="0"/>
          <w:szCs w:val="21"/>
        </w:rPr>
        <w:t>。</w:t>
      </w:r>
      <w:r w:rsidR="009C28F3" w:rsidRPr="00F751D4">
        <w:rPr>
          <w:rFonts w:hint="eastAsia"/>
          <w:szCs w:val="21"/>
        </w:rPr>
        <w:t>但在不定期份额折算后</w:t>
      </w:r>
      <w:r w:rsidR="009C28F3">
        <w:rPr>
          <w:rFonts w:ascii="宋体" w:hAnsi="宋体" w:hint="eastAsia"/>
          <w:szCs w:val="21"/>
        </w:rPr>
        <w:t>有色</w:t>
      </w:r>
      <w:r w:rsidR="009C28F3">
        <w:rPr>
          <w:rFonts w:ascii="宋体" w:hAnsi="宋体"/>
          <w:szCs w:val="21"/>
        </w:rPr>
        <w:t>800A</w:t>
      </w:r>
      <w:r w:rsidR="009C28F3">
        <w:rPr>
          <w:rFonts w:hint="eastAsia"/>
          <w:szCs w:val="21"/>
        </w:rPr>
        <w:t>份额</w:t>
      </w:r>
      <w:r w:rsidR="009C28F3" w:rsidRPr="00A131BA">
        <w:rPr>
          <w:rFonts w:hint="eastAsia"/>
          <w:szCs w:val="21"/>
        </w:rPr>
        <w:t>持有人的风险收益特征将发生</w:t>
      </w:r>
      <w:r w:rsidR="009C28F3">
        <w:rPr>
          <w:rFonts w:hint="eastAsia"/>
          <w:szCs w:val="21"/>
        </w:rPr>
        <w:t>较大</w:t>
      </w:r>
      <w:r w:rsidR="009C28F3" w:rsidRPr="00A131BA">
        <w:rPr>
          <w:rFonts w:hint="eastAsia"/>
          <w:szCs w:val="21"/>
        </w:rPr>
        <w:t>变化，由持有单一的较低风险收益特征的</w:t>
      </w:r>
      <w:r w:rsidR="009C28F3">
        <w:rPr>
          <w:rFonts w:ascii="宋体" w:hAnsi="宋体" w:hint="eastAsia"/>
          <w:szCs w:val="21"/>
        </w:rPr>
        <w:t>有色</w:t>
      </w:r>
      <w:r w:rsidR="009C28F3">
        <w:rPr>
          <w:rFonts w:ascii="宋体" w:hAnsi="宋体"/>
          <w:szCs w:val="21"/>
        </w:rPr>
        <w:t>800A</w:t>
      </w:r>
      <w:r w:rsidR="009C28F3">
        <w:rPr>
          <w:rFonts w:hint="eastAsia"/>
          <w:szCs w:val="21"/>
        </w:rPr>
        <w:t>份额</w:t>
      </w:r>
      <w:r w:rsidR="009C28F3" w:rsidRPr="001952B6">
        <w:rPr>
          <w:rFonts w:hint="eastAsia"/>
          <w:szCs w:val="21"/>
        </w:rPr>
        <w:t>变为同时持有较低风险收益特征的</w:t>
      </w:r>
      <w:r w:rsidR="009C28F3">
        <w:rPr>
          <w:rFonts w:ascii="宋体" w:hAnsi="宋体" w:hint="eastAsia"/>
          <w:szCs w:val="21"/>
        </w:rPr>
        <w:t>有色</w:t>
      </w:r>
      <w:r w:rsidR="009C28F3">
        <w:rPr>
          <w:rFonts w:ascii="宋体" w:hAnsi="宋体"/>
          <w:szCs w:val="21"/>
        </w:rPr>
        <w:t>800A</w:t>
      </w:r>
      <w:r w:rsidR="009C28F3" w:rsidRPr="001952B6">
        <w:rPr>
          <w:szCs w:val="21"/>
        </w:rPr>
        <w:t>份额</w:t>
      </w:r>
      <w:r w:rsidR="009C28F3" w:rsidRPr="001952B6">
        <w:rPr>
          <w:rFonts w:hint="eastAsia"/>
          <w:szCs w:val="21"/>
        </w:rPr>
        <w:t>与较高风险收益特征的</w:t>
      </w:r>
      <w:r w:rsidR="009C28F3" w:rsidRPr="00C40877">
        <w:rPr>
          <w:rFonts w:ascii="宋体" w:eastAsia="宋体" w:hAnsi="宋体" w:cs="宋体" w:hint="eastAsia"/>
          <w:kern w:val="0"/>
          <w:szCs w:val="21"/>
        </w:rPr>
        <w:t>信诚</w:t>
      </w:r>
      <w:r w:rsidR="009C28F3">
        <w:rPr>
          <w:rFonts w:ascii="宋体" w:eastAsia="宋体" w:hAnsi="宋体" w:cs="宋体" w:hint="eastAsia"/>
          <w:kern w:val="0"/>
          <w:szCs w:val="21"/>
        </w:rPr>
        <w:t>有色</w:t>
      </w:r>
      <w:r w:rsidR="009C28F3" w:rsidRPr="001952B6">
        <w:rPr>
          <w:szCs w:val="21"/>
        </w:rPr>
        <w:t>份额</w:t>
      </w:r>
      <w:r w:rsidR="009C28F3" w:rsidRPr="00A131BA">
        <w:rPr>
          <w:rFonts w:hint="eastAsia"/>
          <w:szCs w:val="21"/>
        </w:rPr>
        <w:t>，因此原</w:t>
      </w:r>
      <w:r w:rsidR="009C28F3">
        <w:rPr>
          <w:rFonts w:ascii="宋体" w:hAnsi="宋体" w:hint="eastAsia"/>
          <w:szCs w:val="21"/>
        </w:rPr>
        <w:t>有色</w:t>
      </w:r>
      <w:r w:rsidR="009C28F3">
        <w:rPr>
          <w:rFonts w:ascii="宋体" w:hAnsi="宋体"/>
          <w:szCs w:val="21"/>
        </w:rPr>
        <w:t>800A</w:t>
      </w:r>
      <w:r w:rsidR="009C28F3">
        <w:rPr>
          <w:rFonts w:hint="eastAsia"/>
          <w:szCs w:val="21"/>
        </w:rPr>
        <w:t>份额</w:t>
      </w:r>
      <w:r w:rsidR="009C28F3" w:rsidRPr="00A131BA">
        <w:rPr>
          <w:rFonts w:hint="eastAsia"/>
          <w:szCs w:val="21"/>
        </w:rPr>
        <w:t>持有人预期收益实现的不确定性将会增加</w:t>
      </w:r>
      <w:r w:rsidR="009C28F3">
        <w:rPr>
          <w:rFonts w:hint="eastAsia"/>
          <w:szCs w:val="21"/>
        </w:rPr>
        <w:t>；</w:t>
      </w:r>
      <w:r w:rsidR="009C28F3" w:rsidRPr="00A131BA">
        <w:rPr>
          <w:rFonts w:hint="eastAsia"/>
          <w:szCs w:val="21"/>
        </w:rPr>
        <w:t>此外，</w:t>
      </w:r>
      <w:r w:rsidR="009C28F3" w:rsidRPr="00C40877">
        <w:rPr>
          <w:rFonts w:ascii="宋体" w:eastAsia="宋体" w:hAnsi="宋体" w:cs="宋体" w:hint="eastAsia"/>
          <w:kern w:val="0"/>
          <w:szCs w:val="21"/>
        </w:rPr>
        <w:t>信诚</w:t>
      </w:r>
      <w:r w:rsidR="009C28F3">
        <w:rPr>
          <w:rFonts w:ascii="宋体" w:eastAsia="宋体" w:hAnsi="宋体" w:cs="宋体" w:hint="eastAsia"/>
          <w:kern w:val="0"/>
          <w:szCs w:val="21"/>
        </w:rPr>
        <w:t>有色</w:t>
      </w:r>
      <w:r w:rsidR="009C28F3" w:rsidRPr="001952B6">
        <w:rPr>
          <w:szCs w:val="21"/>
        </w:rPr>
        <w:t>份额</w:t>
      </w:r>
      <w:r w:rsidR="009C28F3" w:rsidRPr="00A131BA">
        <w:rPr>
          <w:rFonts w:hint="eastAsia"/>
          <w:szCs w:val="21"/>
        </w:rPr>
        <w:t>为跟踪指数的基础份额，其份额净值将随市场涨跌而变化，因此原</w:t>
      </w:r>
      <w:r w:rsidR="009C28F3">
        <w:rPr>
          <w:rFonts w:ascii="宋体" w:hAnsi="宋体" w:hint="eastAsia"/>
          <w:szCs w:val="21"/>
        </w:rPr>
        <w:t>有色</w:t>
      </w:r>
      <w:r w:rsidR="009C28F3">
        <w:rPr>
          <w:rFonts w:ascii="宋体" w:hAnsi="宋体"/>
          <w:szCs w:val="21"/>
        </w:rPr>
        <w:t>800A</w:t>
      </w:r>
      <w:r w:rsidR="009C28F3" w:rsidRPr="001952B6">
        <w:rPr>
          <w:szCs w:val="21"/>
        </w:rPr>
        <w:t>份额</w:t>
      </w:r>
      <w:r w:rsidR="009C28F3" w:rsidRPr="00A131BA">
        <w:rPr>
          <w:rFonts w:hint="eastAsia"/>
          <w:szCs w:val="21"/>
        </w:rPr>
        <w:t>持有人还可能会承担因市场下跌而遭受损失的风险。</w:t>
      </w:r>
    </w:p>
    <w:p w:rsidR="00FA5E35" w:rsidRDefault="00FA5E35" w:rsidP="006550EE">
      <w:pPr>
        <w:spacing w:line="360" w:lineRule="auto"/>
        <w:ind w:firstLineChars="200" w:firstLine="420"/>
        <w:rPr>
          <w:rFonts w:ascii="宋体" w:eastAsia="宋体" w:hAnsi="宋体" w:cs="宋体"/>
          <w:kern w:val="0"/>
          <w:szCs w:val="21"/>
        </w:rPr>
      </w:pPr>
      <w:r w:rsidRPr="000C49CF">
        <w:rPr>
          <w:rFonts w:ascii="宋体" w:eastAsia="宋体" w:hAnsi="宋体" w:cs="宋体" w:hint="eastAsia"/>
          <w:kern w:val="0"/>
          <w:szCs w:val="21"/>
        </w:rPr>
        <w:t>四、由于触发折算阀值当日，</w:t>
      </w:r>
      <w:r w:rsidR="003D7B6F">
        <w:rPr>
          <w:rFonts w:ascii="宋体" w:hAnsi="宋体" w:hint="eastAsia"/>
          <w:szCs w:val="21"/>
        </w:rPr>
        <w:t>有色</w:t>
      </w:r>
      <w:r w:rsidR="003D7B6F">
        <w:rPr>
          <w:rFonts w:ascii="宋体" w:hAnsi="宋体"/>
          <w:szCs w:val="21"/>
        </w:rPr>
        <w:t>800B</w:t>
      </w:r>
      <w:r w:rsidRPr="000C49CF">
        <w:rPr>
          <w:rFonts w:ascii="宋体" w:eastAsia="宋体" w:hAnsi="宋体" w:cs="宋体" w:hint="eastAsia"/>
          <w:kern w:val="0"/>
          <w:szCs w:val="21"/>
        </w:rPr>
        <w:t>净值可能已低于阀值，而折算基准日在触发阀值日后才能确定，因此折算基准日</w:t>
      </w:r>
      <w:r w:rsidR="003D7B6F">
        <w:rPr>
          <w:rFonts w:ascii="宋体" w:hAnsi="宋体" w:hint="eastAsia"/>
          <w:szCs w:val="21"/>
        </w:rPr>
        <w:t>有色</w:t>
      </w:r>
      <w:r w:rsidR="003D7B6F">
        <w:rPr>
          <w:rFonts w:ascii="宋体" w:hAnsi="宋体"/>
          <w:szCs w:val="21"/>
        </w:rPr>
        <w:t>800B</w:t>
      </w:r>
      <w:r w:rsidRPr="000C49CF">
        <w:rPr>
          <w:rFonts w:ascii="宋体" w:eastAsia="宋体" w:hAnsi="宋体" w:cs="宋体" w:hint="eastAsia"/>
          <w:kern w:val="0"/>
          <w:szCs w:val="21"/>
        </w:rPr>
        <w:t>净值可能与折算阀值0.250元有一定差异。</w:t>
      </w:r>
    </w:p>
    <w:p w:rsidR="00662B0F" w:rsidRPr="005258A4" w:rsidRDefault="00D05477" w:rsidP="006550E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五</w:t>
      </w:r>
      <w:r w:rsidR="00BE24D7">
        <w:rPr>
          <w:rFonts w:ascii="宋体" w:eastAsia="宋体" w:hAnsi="宋体" w:cs="宋体" w:hint="eastAsia"/>
          <w:kern w:val="0"/>
          <w:szCs w:val="21"/>
        </w:rPr>
        <w:t>、</w:t>
      </w:r>
      <w:r w:rsidR="00662B0F" w:rsidRPr="005258A4">
        <w:rPr>
          <w:rFonts w:ascii="宋体" w:eastAsia="宋体" w:hAnsi="宋体" w:cs="宋体" w:hint="eastAsia"/>
          <w:kern w:val="0"/>
          <w:szCs w:val="21"/>
        </w:rPr>
        <w:t>本基金管理人的其他重要提示：</w:t>
      </w:r>
    </w:p>
    <w:p w:rsidR="00D05477" w:rsidRDefault="00D05477" w:rsidP="006550EE">
      <w:pPr>
        <w:spacing w:line="360" w:lineRule="auto"/>
        <w:ind w:firstLineChars="200" w:firstLine="420"/>
        <w:rPr>
          <w:rFonts w:ascii="宋体" w:eastAsia="宋体" w:hAnsi="宋体" w:cs="宋体"/>
          <w:kern w:val="0"/>
          <w:szCs w:val="21"/>
        </w:rPr>
      </w:pPr>
      <w:r w:rsidRPr="000C49CF">
        <w:rPr>
          <w:rFonts w:ascii="宋体" w:eastAsia="宋体" w:hAnsi="宋体" w:cs="宋体" w:hint="eastAsia"/>
          <w:kern w:val="0"/>
          <w:szCs w:val="21"/>
        </w:rPr>
        <w:t>根据深圳证券交易所的相关业务规则，场内份额数将取整计算</w:t>
      </w:r>
      <w:r w:rsidRPr="000C49CF">
        <w:rPr>
          <w:rFonts w:ascii="宋体" w:eastAsia="宋体" w:hAnsi="宋体" w:cs="宋体"/>
          <w:kern w:val="0"/>
          <w:szCs w:val="21"/>
        </w:rPr>
        <w:t>(</w:t>
      </w:r>
      <w:r w:rsidRPr="000C49CF">
        <w:rPr>
          <w:rFonts w:ascii="宋体" w:eastAsia="宋体" w:hAnsi="宋体" w:cs="宋体" w:hint="eastAsia"/>
          <w:kern w:val="0"/>
          <w:szCs w:val="21"/>
        </w:rPr>
        <w:t>最小单位为</w:t>
      </w:r>
      <w:r w:rsidRPr="000C49CF">
        <w:rPr>
          <w:rFonts w:ascii="宋体" w:eastAsia="宋体" w:hAnsi="宋体" w:cs="宋体"/>
          <w:kern w:val="0"/>
          <w:szCs w:val="21"/>
        </w:rPr>
        <w:t>1</w:t>
      </w:r>
      <w:r w:rsidRPr="000C49CF">
        <w:rPr>
          <w:rFonts w:ascii="宋体" w:eastAsia="宋体" w:hAnsi="宋体" w:cs="宋体" w:hint="eastAsia"/>
          <w:kern w:val="0"/>
          <w:szCs w:val="21"/>
        </w:rPr>
        <w:t>份</w:t>
      </w:r>
      <w:r w:rsidRPr="000C49CF">
        <w:rPr>
          <w:rFonts w:ascii="宋体" w:eastAsia="宋体" w:hAnsi="宋体" w:cs="宋体"/>
          <w:kern w:val="0"/>
          <w:szCs w:val="21"/>
        </w:rPr>
        <w:t>)</w:t>
      </w:r>
      <w:r w:rsidRPr="000C49CF">
        <w:rPr>
          <w:rFonts w:ascii="宋体" w:eastAsia="宋体" w:hAnsi="宋体" w:cs="宋体" w:hint="eastAsia"/>
          <w:kern w:val="0"/>
          <w:szCs w:val="21"/>
        </w:rPr>
        <w:t>，舍去部分计入基金资产，持有极小数量</w:t>
      </w:r>
      <w:r w:rsidR="003D7B6F" w:rsidRPr="00C40877">
        <w:rPr>
          <w:rFonts w:ascii="宋体" w:eastAsia="宋体" w:hAnsi="宋体" w:cs="宋体" w:hint="eastAsia"/>
          <w:kern w:val="0"/>
          <w:szCs w:val="21"/>
        </w:rPr>
        <w:t>信诚</w:t>
      </w:r>
      <w:r w:rsidR="003D7B6F">
        <w:rPr>
          <w:rFonts w:ascii="宋体" w:eastAsia="宋体" w:hAnsi="宋体" w:cs="宋体" w:hint="eastAsia"/>
          <w:kern w:val="0"/>
          <w:szCs w:val="21"/>
        </w:rPr>
        <w:t>有色</w:t>
      </w:r>
      <w:r w:rsidRPr="000C49CF">
        <w:rPr>
          <w:rFonts w:ascii="宋体" w:eastAsia="宋体" w:hAnsi="宋体" w:cs="宋体" w:hint="eastAsia"/>
          <w:kern w:val="0"/>
          <w:szCs w:val="21"/>
        </w:rPr>
        <w:t>份额、</w:t>
      </w:r>
      <w:r w:rsidR="003D7B6F">
        <w:rPr>
          <w:rFonts w:ascii="宋体" w:hAnsi="宋体" w:hint="eastAsia"/>
          <w:szCs w:val="21"/>
        </w:rPr>
        <w:t>有色</w:t>
      </w:r>
      <w:r w:rsidR="003D7B6F">
        <w:rPr>
          <w:rFonts w:ascii="宋体" w:hAnsi="宋体"/>
          <w:szCs w:val="21"/>
        </w:rPr>
        <w:t>800A</w:t>
      </w:r>
      <w:r w:rsidRPr="000C49CF">
        <w:rPr>
          <w:rFonts w:ascii="宋体" w:eastAsia="宋体" w:hAnsi="宋体" w:cs="宋体" w:hint="eastAsia"/>
          <w:kern w:val="0"/>
          <w:szCs w:val="21"/>
        </w:rPr>
        <w:t>份额、</w:t>
      </w:r>
      <w:r w:rsidR="003D7B6F">
        <w:rPr>
          <w:rFonts w:ascii="宋体" w:hAnsi="宋体" w:hint="eastAsia"/>
          <w:szCs w:val="21"/>
        </w:rPr>
        <w:t>有色</w:t>
      </w:r>
      <w:r w:rsidR="003D7B6F">
        <w:rPr>
          <w:rFonts w:ascii="宋体" w:hAnsi="宋体"/>
          <w:szCs w:val="21"/>
        </w:rPr>
        <w:t>800B</w:t>
      </w:r>
      <w:r w:rsidRPr="000C49CF">
        <w:rPr>
          <w:rFonts w:ascii="宋体" w:eastAsia="宋体" w:hAnsi="宋体" w:cs="宋体" w:hint="eastAsia"/>
          <w:kern w:val="0"/>
          <w:szCs w:val="21"/>
        </w:rPr>
        <w:t>份额的持有人</w:t>
      </w:r>
      <w:r w:rsidRPr="000C49CF">
        <w:rPr>
          <w:rFonts w:ascii="宋体" w:eastAsia="宋体" w:hAnsi="宋体" w:cs="宋体" w:hint="eastAsia"/>
          <w:kern w:val="0"/>
          <w:szCs w:val="21"/>
        </w:rPr>
        <w:lastRenderedPageBreak/>
        <w:t>存在折算后份额因为不足</w:t>
      </w:r>
      <w:r w:rsidRPr="000C49CF">
        <w:rPr>
          <w:rFonts w:ascii="宋体" w:eastAsia="宋体" w:hAnsi="宋体" w:cs="宋体"/>
          <w:kern w:val="0"/>
          <w:szCs w:val="21"/>
        </w:rPr>
        <w:t>1</w:t>
      </w:r>
      <w:r w:rsidRPr="000C49CF">
        <w:rPr>
          <w:rFonts w:ascii="宋体" w:eastAsia="宋体" w:hAnsi="宋体" w:cs="宋体" w:hint="eastAsia"/>
          <w:kern w:val="0"/>
          <w:szCs w:val="21"/>
        </w:rPr>
        <w:t>份而被强制归入基金资产的风险。</w:t>
      </w:r>
    </w:p>
    <w:p w:rsidR="00662B0F" w:rsidRPr="005258A4" w:rsidRDefault="00662B0F" w:rsidP="006550EE">
      <w:pPr>
        <w:spacing w:line="360" w:lineRule="auto"/>
        <w:ind w:firstLineChars="200" w:firstLine="420"/>
        <w:rPr>
          <w:rFonts w:ascii="宋体" w:eastAsia="宋体" w:hAnsi="宋体" w:cs="宋体"/>
          <w:kern w:val="0"/>
          <w:szCs w:val="21"/>
        </w:rPr>
      </w:pPr>
      <w:r w:rsidRPr="005258A4">
        <w:rPr>
          <w:rFonts w:ascii="宋体" w:eastAsia="宋体" w:hAnsi="宋体" w:cs="宋体" w:hint="eastAsia"/>
          <w:kern w:val="0"/>
          <w:szCs w:val="21"/>
        </w:rPr>
        <w:t>若本基金发生上述不定期份额折算情形，为保证折算期间本基金的平稳运作，本基金管理人可根据深圳证券交易所、中国证券登记结算有限责任公司的相关业务规定暂停</w:t>
      </w:r>
      <w:r w:rsidR="003D7B6F">
        <w:rPr>
          <w:rFonts w:ascii="宋体" w:hAnsi="宋体" w:hint="eastAsia"/>
          <w:szCs w:val="21"/>
        </w:rPr>
        <w:t>有色</w:t>
      </w:r>
      <w:r w:rsidR="003D7B6F">
        <w:rPr>
          <w:rFonts w:ascii="宋体" w:hAnsi="宋体"/>
          <w:szCs w:val="21"/>
        </w:rPr>
        <w:t>800A</w:t>
      </w:r>
      <w:r w:rsidR="005258A4" w:rsidRPr="005258A4">
        <w:rPr>
          <w:rFonts w:ascii="宋体" w:eastAsia="宋体" w:hAnsi="宋体" w:cs="宋体" w:hint="eastAsia"/>
          <w:kern w:val="0"/>
          <w:szCs w:val="21"/>
        </w:rPr>
        <w:t>份额</w:t>
      </w:r>
      <w:r w:rsidRPr="005258A4">
        <w:rPr>
          <w:rFonts w:ascii="宋体" w:eastAsia="宋体" w:hAnsi="宋体" w:cs="宋体" w:hint="eastAsia"/>
          <w:kern w:val="0"/>
          <w:szCs w:val="21"/>
        </w:rPr>
        <w:t>与</w:t>
      </w:r>
      <w:r w:rsidR="003D7B6F">
        <w:rPr>
          <w:rFonts w:ascii="宋体" w:hAnsi="宋体" w:hint="eastAsia"/>
          <w:szCs w:val="21"/>
        </w:rPr>
        <w:t>有色</w:t>
      </w:r>
      <w:r w:rsidR="003D7B6F">
        <w:rPr>
          <w:rFonts w:ascii="宋体" w:hAnsi="宋体"/>
          <w:szCs w:val="21"/>
        </w:rPr>
        <w:t>800B</w:t>
      </w:r>
      <w:r w:rsidR="005258A4" w:rsidRPr="005258A4">
        <w:rPr>
          <w:rFonts w:ascii="宋体" w:eastAsia="宋体" w:hAnsi="宋体" w:cs="宋体" w:hint="eastAsia"/>
          <w:kern w:val="0"/>
          <w:szCs w:val="21"/>
        </w:rPr>
        <w:t>份额</w:t>
      </w:r>
      <w:r w:rsidRPr="005258A4">
        <w:rPr>
          <w:rFonts w:ascii="宋体" w:eastAsia="宋体" w:hAnsi="宋体" w:cs="宋体" w:hint="eastAsia"/>
          <w:kern w:val="0"/>
          <w:szCs w:val="21"/>
        </w:rPr>
        <w:t>的上市交易和</w:t>
      </w:r>
      <w:r w:rsidR="003D7B6F" w:rsidRPr="00C40877">
        <w:rPr>
          <w:rFonts w:ascii="宋体" w:eastAsia="宋体" w:hAnsi="宋体" w:cs="宋体" w:hint="eastAsia"/>
          <w:kern w:val="0"/>
          <w:szCs w:val="21"/>
        </w:rPr>
        <w:t>信诚</w:t>
      </w:r>
      <w:r w:rsidR="003D7B6F">
        <w:rPr>
          <w:rFonts w:ascii="宋体" w:eastAsia="宋体" w:hAnsi="宋体" w:cs="宋体" w:hint="eastAsia"/>
          <w:kern w:val="0"/>
          <w:szCs w:val="21"/>
        </w:rPr>
        <w:t>有色</w:t>
      </w:r>
      <w:r w:rsidR="005258A4" w:rsidRPr="005258A4">
        <w:rPr>
          <w:rFonts w:ascii="宋体" w:eastAsia="宋体" w:hAnsi="宋体" w:cs="宋体" w:hint="eastAsia"/>
          <w:kern w:val="0"/>
          <w:szCs w:val="21"/>
        </w:rPr>
        <w:t>份额</w:t>
      </w:r>
      <w:r w:rsidRPr="005258A4">
        <w:rPr>
          <w:rFonts w:ascii="宋体" w:eastAsia="宋体" w:hAnsi="宋体" w:cs="宋体" w:hint="eastAsia"/>
          <w:kern w:val="0"/>
          <w:szCs w:val="21"/>
        </w:rPr>
        <w:t>的申购及赎回等相关业务。届时本基金管理人将会对相关事项进行公告，敬请投资者予以关注。</w:t>
      </w:r>
    </w:p>
    <w:p w:rsidR="0040104E" w:rsidRDefault="00662B0F" w:rsidP="006550EE">
      <w:pPr>
        <w:spacing w:line="360" w:lineRule="auto"/>
        <w:ind w:firstLineChars="200" w:firstLine="420"/>
        <w:rPr>
          <w:rFonts w:ascii="宋体" w:eastAsia="宋体" w:hAnsi="宋体" w:cs="宋体"/>
          <w:kern w:val="0"/>
          <w:szCs w:val="21"/>
        </w:rPr>
      </w:pPr>
      <w:r w:rsidRPr="005258A4">
        <w:rPr>
          <w:rFonts w:ascii="宋体" w:eastAsia="宋体" w:hAnsi="宋体" w:cs="宋体" w:hint="eastAsia"/>
          <w:kern w:val="0"/>
          <w:szCs w:val="21"/>
        </w:rPr>
        <w:t>投资者若希望了解基金不定期份额折算业务详情，请参阅</w:t>
      </w:r>
      <w:r w:rsidR="005258A4" w:rsidRPr="005258A4">
        <w:rPr>
          <w:rFonts w:ascii="宋体" w:eastAsia="宋体" w:hAnsi="宋体" w:cs="宋体" w:hint="eastAsia"/>
          <w:kern w:val="0"/>
          <w:szCs w:val="21"/>
        </w:rPr>
        <w:t>《</w:t>
      </w:r>
      <w:r w:rsidR="003D7B6F" w:rsidRPr="003D7B6F">
        <w:rPr>
          <w:rFonts w:ascii="宋体" w:eastAsia="宋体" w:hAnsi="宋体" w:cs="宋体" w:hint="eastAsia"/>
          <w:kern w:val="0"/>
          <w:szCs w:val="21"/>
        </w:rPr>
        <w:t>信诚中证800有色指数分级证券投资基金</w:t>
      </w:r>
      <w:r w:rsidR="00872060">
        <w:rPr>
          <w:rFonts w:ascii="宋体" w:eastAsia="宋体" w:hAnsi="宋体" w:cs="宋体" w:hint="eastAsia"/>
          <w:kern w:val="0"/>
          <w:szCs w:val="21"/>
        </w:rPr>
        <w:t>基金</w:t>
      </w:r>
      <w:r w:rsidRPr="005258A4">
        <w:rPr>
          <w:rFonts w:ascii="宋体" w:eastAsia="宋体" w:hAnsi="宋体" w:cs="宋体" w:hint="eastAsia"/>
          <w:kern w:val="0"/>
          <w:szCs w:val="21"/>
        </w:rPr>
        <w:t>合同</w:t>
      </w:r>
      <w:r w:rsidR="005258A4" w:rsidRPr="005258A4">
        <w:rPr>
          <w:rFonts w:ascii="宋体" w:eastAsia="宋体" w:hAnsi="宋体" w:cs="宋体" w:hint="eastAsia"/>
          <w:kern w:val="0"/>
          <w:szCs w:val="21"/>
        </w:rPr>
        <w:t>》</w:t>
      </w:r>
      <w:r w:rsidRPr="005258A4">
        <w:rPr>
          <w:rFonts w:ascii="宋体" w:eastAsia="宋体" w:hAnsi="宋体" w:cs="宋体" w:hint="eastAsia"/>
          <w:kern w:val="0"/>
          <w:szCs w:val="21"/>
        </w:rPr>
        <w:t>及《</w:t>
      </w:r>
      <w:r w:rsidR="003D7B6F" w:rsidRPr="003D7B6F">
        <w:rPr>
          <w:rFonts w:ascii="宋体" w:eastAsia="宋体" w:hAnsi="宋体" w:cs="宋体" w:hint="eastAsia"/>
          <w:kern w:val="0"/>
          <w:szCs w:val="21"/>
        </w:rPr>
        <w:t>信诚中证800有色指数分级证券投资基金</w:t>
      </w:r>
      <w:r w:rsidRPr="005258A4">
        <w:rPr>
          <w:rFonts w:ascii="宋体" w:eastAsia="宋体" w:hAnsi="宋体" w:cs="宋体" w:hint="eastAsia"/>
          <w:kern w:val="0"/>
          <w:szCs w:val="21"/>
        </w:rPr>
        <w:t>招募说明书》</w:t>
      </w:r>
      <w:r w:rsidR="00B7495F">
        <w:rPr>
          <w:rFonts w:ascii="宋体" w:eastAsia="宋体" w:hAnsi="宋体" w:cs="宋体" w:hint="eastAsia"/>
          <w:kern w:val="0"/>
          <w:szCs w:val="21"/>
        </w:rPr>
        <w:t>。</w:t>
      </w:r>
      <w:r w:rsidR="005258A4" w:rsidRPr="005258A4">
        <w:rPr>
          <w:rFonts w:ascii="宋体" w:eastAsia="宋体" w:hAnsi="宋体" w:cs="宋体" w:hint="eastAsia"/>
          <w:kern w:val="0"/>
          <w:szCs w:val="21"/>
        </w:rPr>
        <w:t>投资者可致电本公司客户服务电话</w:t>
      </w:r>
      <w:r w:rsidR="005258A4" w:rsidRPr="005258A4">
        <w:rPr>
          <w:rFonts w:ascii="宋体" w:eastAsia="宋体" w:hAnsi="宋体" w:cs="宋体"/>
          <w:kern w:val="0"/>
          <w:szCs w:val="21"/>
        </w:rPr>
        <w:t>400-666-0066</w:t>
      </w:r>
      <w:r w:rsidR="005258A4" w:rsidRPr="005258A4">
        <w:rPr>
          <w:rFonts w:ascii="宋体" w:eastAsia="宋体" w:hAnsi="宋体" w:cs="宋体" w:hint="eastAsia"/>
          <w:kern w:val="0"/>
          <w:szCs w:val="21"/>
        </w:rPr>
        <w:t>，或登录本公司网站</w:t>
      </w:r>
      <w:hyperlink r:id="rId7" w:history="1">
        <w:r w:rsidR="005258A4" w:rsidRPr="005258A4">
          <w:rPr>
            <w:rFonts w:ascii="宋体" w:eastAsia="宋体" w:hAnsi="宋体" w:cs="宋体" w:hint="eastAsia"/>
            <w:kern w:val="0"/>
            <w:szCs w:val="21"/>
          </w:rPr>
          <w:t>www.xcfunds.com</w:t>
        </w:r>
      </w:hyperlink>
      <w:r w:rsidR="005258A4" w:rsidRPr="005258A4">
        <w:rPr>
          <w:rFonts w:ascii="宋体" w:eastAsia="宋体" w:hAnsi="宋体" w:cs="宋体" w:hint="eastAsia"/>
          <w:kern w:val="0"/>
          <w:szCs w:val="21"/>
        </w:rPr>
        <w:t>了解或咨询详请</w:t>
      </w:r>
      <w:r w:rsidR="00CD67E5">
        <w:rPr>
          <w:rFonts w:ascii="宋体" w:eastAsia="宋体" w:hAnsi="宋体" w:cs="宋体" w:hint="eastAsia"/>
          <w:kern w:val="0"/>
          <w:szCs w:val="21"/>
        </w:rPr>
        <w:t>。</w:t>
      </w:r>
    </w:p>
    <w:p w:rsidR="00662B0F" w:rsidRPr="005258A4" w:rsidRDefault="0040104E" w:rsidP="006550E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七</w:t>
      </w:r>
      <w:r w:rsidR="00662B0F" w:rsidRPr="005258A4">
        <w:rPr>
          <w:rFonts w:ascii="宋体" w:eastAsia="宋体" w:hAnsi="宋体" w:cs="宋体" w:hint="eastAsia"/>
          <w:kern w:val="0"/>
          <w:szCs w:val="21"/>
        </w:rPr>
        <w:t>、基金管理人承诺以诚实信用、勤勉尽责的原则管理和运用基金资产，但不保证基金一定盈利，也不保证最低收益。本基金管理人提醒投资者知晓基金投资的</w:t>
      </w:r>
      <w:r w:rsidR="00662B0F" w:rsidRPr="005258A4">
        <w:rPr>
          <w:rFonts w:ascii="宋体" w:eastAsia="宋体" w:hAnsi="宋体" w:cs="宋体"/>
          <w:kern w:val="0"/>
          <w:szCs w:val="21"/>
        </w:rPr>
        <w:t>“</w:t>
      </w:r>
      <w:r w:rsidR="00662B0F" w:rsidRPr="005258A4">
        <w:rPr>
          <w:rFonts w:ascii="宋体" w:eastAsia="宋体" w:hAnsi="宋体" w:cs="宋体" w:hint="eastAsia"/>
          <w:kern w:val="0"/>
          <w:szCs w:val="21"/>
        </w:rPr>
        <w:t>买者自负</w:t>
      </w:r>
      <w:r w:rsidR="00662B0F" w:rsidRPr="005258A4">
        <w:rPr>
          <w:rFonts w:ascii="宋体" w:eastAsia="宋体" w:hAnsi="宋体" w:cs="宋体"/>
          <w:kern w:val="0"/>
          <w:szCs w:val="21"/>
        </w:rPr>
        <w:t>”</w:t>
      </w:r>
      <w:r w:rsidR="00662B0F" w:rsidRPr="005258A4">
        <w:rPr>
          <w:rFonts w:ascii="宋体" w:eastAsia="宋体" w:hAnsi="宋体" w:cs="宋体" w:hint="eastAsia"/>
          <w:kern w:val="0"/>
          <w:szCs w:val="21"/>
        </w:rPr>
        <w:t>原则，在做出投资决策后，基金运营状况与基金净值变化引致的投资风险，由投资者自行承担。敬请投资者投资于本基金前应认真阅读本基金的基金合同和招募说明书等相关法律文件。</w:t>
      </w:r>
    </w:p>
    <w:p w:rsidR="005258A4" w:rsidRPr="005258A4" w:rsidRDefault="005258A4" w:rsidP="006550EE">
      <w:pPr>
        <w:spacing w:line="360" w:lineRule="auto"/>
        <w:ind w:firstLineChars="200" w:firstLine="420"/>
        <w:rPr>
          <w:rFonts w:ascii="宋体" w:eastAsia="宋体" w:hAnsi="宋体" w:cs="宋体"/>
          <w:kern w:val="0"/>
          <w:szCs w:val="21"/>
        </w:rPr>
      </w:pPr>
    </w:p>
    <w:p w:rsidR="005258A4" w:rsidRPr="005258A4" w:rsidRDefault="005258A4" w:rsidP="006550EE">
      <w:pPr>
        <w:spacing w:line="360" w:lineRule="auto"/>
        <w:ind w:firstLineChars="200" w:firstLine="420"/>
        <w:rPr>
          <w:rFonts w:ascii="宋体" w:eastAsia="宋体" w:hAnsi="宋体" w:cs="宋体"/>
          <w:kern w:val="0"/>
          <w:szCs w:val="21"/>
        </w:rPr>
      </w:pPr>
      <w:r w:rsidRPr="005258A4">
        <w:rPr>
          <w:rFonts w:ascii="宋体" w:eastAsia="宋体" w:hAnsi="宋体" w:cs="宋体" w:hint="eastAsia"/>
          <w:kern w:val="0"/>
          <w:szCs w:val="21"/>
        </w:rPr>
        <w:t>特此公告。</w:t>
      </w:r>
    </w:p>
    <w:p w:rsidR="005258A4" w:rsidRPr="00A16C9D" w:rsidRDefault="005258A4" w:rsidP="006550EE">
      <w:pPr>
        <w:spacing w:line="360" w:lineRule="auto"/>
        <w:ind w:firstLineChars="200" w:firstLine="420"/>
        <w:rPr>
          <w:rFonts w:ascii="宋体" w:hAnsi="宋体" w:cs="宋体"/>
          <w:kern w:val="0"/>
          <w:szCs w:val="21"/>
        </w:rPr>
      </w:pPr>
    </w:p>
    <w:p w:rsidR="005258A4" w:rsidRPr="00A16C9D" w:rsidRDefault="005258A4" w:rsidP="006550EE">
      <w:pPr>
        <w:spacing w:line="360" w:lineRule="auto"/>
        <w:ind w:firstLineChars="200" w:firstLine="420"/>
        <w:rPr>
          <w:rFonts w:ascii="宋体" w:hAnsi="宋体" w:cs="宋体"/>
          <w:kern w:val="0"/>
          <w:szCs w:val="21"/>
        </w:rPr>
      </w:pPr>
    </w:p>
    <w:p w:rsidR="005258A4" w:rsidRPr="00A16C9D" w:rsidRDefault="005258A4" w:rsidP="006550EE">
      <w:pPr>
        <w:spacing w:line="360" w:lineRule="auto"/>
        <w:ind w:firstLineChars="200" w:firstLine="420"/>
        <w:jc w:val="right"/>
        <w:rPr>
          <w:rFonts w:ascii="宋体" w:hAnsi="宋体" w:cs="宋体"/>
          <w:kern w:val="0"/>
          <w:szCs w:val="21"/>
        </w:rPr>
      </w:pPr>
      <w:r w:rsidRPr="00A16C9D">
        <w:rPr>
          <w:rFonts w:ascii="宋体" w:hAnsi="宋体" w:cs="宋体" w:hint="eastAsia"/>
          <w:kern w:val="0"/>
          <w:szCs w:val="21"/>
        </w:rPr>
        <w:t>信诚基金管理有限公司</w:t>
      </w:r>
    </w:p>
    <w:p w:rsidR="005258A4" w:rsidRPr="00A16C9D" w:rsidRDefault="00872060" w:rsidP="006550EE">
      <w:pPr>
        <w:spacing w:line="360" w:lineRule="auto"/>
        <w:ind w:firstLineChars="200" w:firstLine="420"/>
        <w:jc w:val="right"/>
        <w:rPr>
          <w:rFonts w:ascii="宋体" w:hAnsi="宋体" w:cs="宋体"/>
          <w:kern w:val="0"/>
          <w:szCs w:val="21"/>
        </w:rPr>
      </w:pPr>
      <w:r>
        <w:rPr>
          <w:rFonts w:ascii="宋体" w:hAnsi="宋体" w:cs="宋体" w:hint="eastAsia"/>
          <w:kern w:val="0"/>
          <w:szCs w:val="21"/>
        </w:rPr>
        <w:t>2015年</w:t>
      </w:r>
      <w:r w:rsidR="003D7B6F">
        <w:rPr>
          <w:rFonts w:ascii="宋体" w:hAnsi="宋体" w:cs="宋体" w:hint="eastAsia"/>
          <w:kern w:val="0"/>
          <w:szCs w:val="21"/>
        </w:rPr>
        <w:t>7</w:t>
      </w:r>
      <w:r>
        <w:rPr>
          <w:rFonts w:ascii="宋体" w:hAnsi="宋体" w:cs="宋体" w:hint="eastAsia"/>
          <w:kern w:val="0"/>
          <w:szCs w:val="21"/>
        </w:rPr>
        <w:t>月</w:t>
      </w:r>
      <w:r w:rsidR="003D7B6F">
        <w:rPr>
          <w:rFonts w:ascii="宋体" w:hAnsi="宋体" w:cs="宋体" w:hint="eastAsia"/>
          <w:kern w:val="0"/>
          <w:szCs w:val="21"/>
        </w:rPr>
        <w:t>8</w:t>
      </w:r>
      <w:r>
        <w:rPr>
          <w:rFonts w:ascii="宋体" w:hAnsi="宋体" w:cs="宋体" w:hint="eastAsia"/>
          <w:kern w:val="0"/>
          <w:szCs w:val="21"/>
        </w:rPr>
        <w:t>日</w:t>
      </w:r>
    </w:p>
    <w:p w:rsidR="005258A4" w:rsidRPr="003019EE" w:rsidRDefault="005258A4" w:rsidP="006550EE">
      <w:pPr>
        <w:spacing w:line="360" w:lineRule="auto"/>
        <w:ind w:firstLineChars="200" w:firstLine="420"/>
        <w:rPr>
          <w:szCs w:val="21"/>
        </w:rPr>
      </w:pPr>
    </w:p>
    <w:p w:rsidR="00662B0F" w:rsidRDefault="00662B0F" w:rsidP="006550EE">
      <w:pPr>
        <w:pStyle w:val="Default"/>
        <w:spacing w:line="360" w:lineRule="auto"/>
        <w:ind w:firstLineChars="200" w:firstLine="420"/>
        <w:jc w:val="both"/>
        <w:rPr>
          <w:sz w:val="21"/>
          <w:szCs w:val="21"/>
        </w:rPr>
      </w:pPr>
    </w:p>
    <w:sectPr w:rsidR="00662B0F" w:rsidSect="00BE6C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EA5" w:rsidRDefault="00AC4EA5" w:rsidP="0040104E">
      <w:r>
        <w:separator/>
      </w:r>
    </w:p>
  </w:endnote>
  <w:endnote w:type="continuationSeparator" w:id="1">
    <w:p w:rsidR="00AC4EA5" w:rsidRDefault="00AC4EA5" w:rsidP="0040104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EA5" w:rsidRDefault="00AC4EA5" w:rsidP="0040104E">
      <w:r>
        <w:separator/>
      </w:r>
    </w:p>
  </w:footnote>
  <w:footnote w:type="continuationSeparator" w:id="1">
    <w:p w:rsidR="00AC4EA5" w:rsidRDefault="00AC4EA5" w:rsidP="004010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A4382"/>
    <w:multiLevelType w:val="hybridMultilevel"/>
    <w:tmpl w:val="CC546C7E"/>
    <w:lvl w:ilvl="0" w:tplc="B1D493DC">
      <w:start w:val="1"/>
      <w:numFmt w:val="japaneseCounting"/>
      <w:lvlText w:val="%1、"/>
      <w:lvlJc w:val="left"/>
      <w:pPr>
        <w:ind w:left="1260" w:hanging="840"/>
      </w:pPr>
      <w:rPr>
        <w:rFonts w:ascii="Arial" w:eastAsiaTheme="minorEastAsia" w:hAnsi="Arial" w:cs="Arial"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B631083"/>
    <w:multiLevelType w:val="hybridMultilevel"/>
    <w:tmpl w:val="CC546C7E"/>
    <w:lvl w:ilvl="0" w:tplc="B1D493DC">
      <w:start w:val="1"/>
      <w:numFmt w:val="japaneseCounting"/>
      <w:lvlText w:val="%1、"/>
      <w:lvlJc w:val="left"/>
      <w:pPr>
        <w:ind w:left="1260" w:hanging="840"/>
      </w:pPr>
      <w:rPr>
        <w:rFonts w:ascii="Arial" w:eastAsiaTheme="minorEastAsia" w:hAnsi="Arial" w:cs="Arial"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B0F"/>
    <w:rsid w:val="00082373"/>
    <w:rsid w:val="000B07E0"/>
    <w:rsid w:val="000C49CF"/>
    <w:rsid w:val="00122FA7"/>
    <w:rsid w:val="00124052"/>
    <w:rsid w:val="001746DF"/>
    <w:rsid w:val="001B4D81"/>
    <w:rsid w:val="00221F98"/>
    <w:rsid w:val="002937BA"/>
    <w:rsid w:val="002954CB"/>
    <w:rsid w:val="002B3D04"/>
    <w:rsid w:val="002D083E"/>
    <w:rsid w:val="002D47DD"/>
    <w:rsid w:val="00327F77"/>
    <w:rsid w:val="00363D5B"/>
    <w:rsid w:val="0037113B"/>
    <w:rsid w:val="00384F41"/>
    <w:rsid w:val="003D4AC1"/>
    <w:rsid w:val="003D7B6F"/>
    <w:rsid w:val="003E43E0"/>
    <w:rsid w:val="0040104E"/>
    <w:rsid w:val="004035BB"/>
    <w:rsid w:val="00476AE2"/>
    <w:rsid w:val="004A2BA2"/>
    <w:rsid w:val="004B4988"/>
    <w:rsid w:val="004D46F9"/>
    <w:rsid w:val="004F0EE6"/>
    <w:rsid w:val="00501B20"/>
    <w:rsid w:val="005258A4"/>
    <w:rsid w:val="005D2F2C"/>
    <w:rsid w:val="00636221"/>
    <w:rsid w:val="00642976"/>
    <w:rsid w:val="006550EE"/>
    <w:rsid w:val="00655D54"/>
    <w:rsid w:val="00662B0F"/>
    <w:rsid w:val="006713B1"/>
    <w:rsid w:val="00693EC2"/>
    <w:rsid w:val="00741E85"/>
    <w:rsid w:val="00750A6F"/>
    <w:rsid w:val="007547A9"/>
    <w:rsid w:val="00756C29"/>
    <w:rsid w:val="007640FF"/>
    <w:rsid w:val="007A2038"/>
    <w:rsid w:val="00854312"/>
    <w:rsid w:val="00872060"/>
    <w:rsid w:val="008A1E58"/>
    <w:rsid w:val="008F6D80"/>
    <w:rsid w:val="00911D43"/>
    <w:rsid w:val="00940AC1"/>
    <w:rsid w:val="009A5683"/>
    <w:rsid w:val="009C28F3"/>
    <w:rsid w:val="009F08A3"/>
    <w:rsid w:val="00A54237"/>
    <w:rsid w:val="00A62EFE"/>
    <w:rsid w:val="00A820B0"/>
    <w:rsid w:val="00AB008E"/>
    <w:rsid w:val="00AC4EA5"/>
    <w:rsid w:val="00AD5F2E"/>
    <w:rsid w:val="00AF093E"/>
    <w:rsid w:val="00B47FF9"/>
    <w:rsid w:val="00B7495F"/>
    <w:rsid w:val="00B82FFC"/>
    <w:rsid w:val="00B92724"/>
    <w:rsid w:val="00BB3640"/>
    <w:rsid w:val="00BC722C"/>
    <w:rsid w:val="00BD7392"/>
    <w:rsid w:val="00BE24D7"/>
    <w:rsid w:val="00BE6C54"/>
    <w:rsid w:val="00C2685D"/>
    <w:rsid w:val="00C408D4"/>
    <w:rsid w:val="00C64BC9"/>
    <w:rsid w:val="00C73401"/>
    <w:rsid w:val="00CB6905"/>
    <w:rsid w:val="00CC0D70"/>
    <w:rsid w:val="00CD67E5"/>
    <w:rsid w:val="00D05477"/>
    <w:rsid w:val="00D14536"/>
    <w:rsid w:val="00D77E4C"/>
    <w:rsid w:val="00D8092F"/>
    <w:rsid w:val="00DA59C2"/>
    <w:rsid w:val="00DB5440"/>
    <w:rsid w:val="00DF6BD1"/>
    <w:rsid w:val="00E12381"/>
    <w:rsid w:val="00E550E4"/>
    <w:rsid w:val="00E5643D"/>
    <w:rsid w:val="00E56CCE"/>
    <w:rsid w:val="00EA6B2A"/>
    <w:rsid w:val="00F8284B"/>
    <w:rsid w:val="00F83E6A"/>
    <w:rsid w:val="00FA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C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2B0F"/>
    <w:pPr>
      <w:widowControl w:val="0"/>
      <w:autoSpaceDE w:val="0"/>
      <w:autoSpaceDN w:val="0"/>
      <w:adjustRightInd w:val="0"/>
    </w:pPr>
    <w:rPr>
      <w:rFonts w:ascii="宋体" w:eastAsia="宋体" w:cs="宋体"/>
      <w:color w:val="000000"/>
      <w:kern w:val="0"/>
      <w:sz w:val="24"/>
      <w:szCs w:val="24"/>
    </w:rPr>
  </w:style>
  <w:style w:type="paragraph" w:styleId="a3">
    <w:name w:val="Balloon Text"/>
    <w:basedOn w:val="a"/>
    <w:link w:val="Char"/>
    <w:uiPriority w:val="99"/>
    <w:semiHidden/>
    <w:unhideWhenUsed/>
    <w:rsid w:val="002B3D04"/>
    <w:rPr>
      <w:sz w:val="18"/>
      <w:szCs w:val="18"/>
    </w:rPr>
  </w:style>
  <w:style w:type="character" w:customStyle="1" w:styleId="Char">
    <w:name w:val="批注框文本 Char"/>
    <w:basedOn w:val="a0"/>
    <w:link w:val="a3"/>
    <w:uiPriority w:val="99"/>
    <w:semiHidden/>
    <w:rsid w:val="002B3D04"/>
    <w:rPr>
      <w:sz w:val="18"/>
      <w:szCs w:val="18"/>
    </w:rPr>
  </w:style>
  <w:style w:type="paragraph" w:styleId="a4">
    <w:name w:val="header"/>
    <w:basedOn w:val="a"/>
    <w:link w:val="Char0"/>
    <w:uiPriority w:val="99"/>
    <w:unhideWhenUsed/>
    <w:rsid w:val="004010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0104E"/>
    <w:rPr>
      <w:sz w:val="18"/>
      <w:szCs w:val="18"/>
    </w:rPr>
  </w:style>
  <w:style w:type="paragraph" w:styleId="a5">
    <w:name w:val="footer"/>
    <w:basedOn w:val="a"/>
    <w:link w:val="Char1"/>
    <w:uiPriority w:val="99"/>
    <w:unhideWhenUsed/>
    <w:rsid w:val="0040104E"/>
    <w:pPr>
      <w:tabs>
        <w:tab w:val="center" w:pos="4153"/>
        <w:tab w:val="right" w:pos="8306"/>
      </w:tabs>
      <w:snapToGrid w:val="0"/>
      <w:jc w:val="left"/>
    </w:pPr>
    <w:rPr>
      <w:sz w:val="18"/>
      <w:szCs w:val="18"/>
    </w:rPr>
  </w:style>
  <w:style w:type="character" w:customStyle="1" w:styleId="Char1">
    <w:name w:val="页脚 Char"/>
    <w:basedOn w:val="a0"/>
    <w:link w:val="a5"/>
    <w:uiPriority w:val="99"/>
    <w:rsid w:val="0040104E"/>
    <w:rPr>
      <w:sz w:val="18"/>
      <w:szCs w:val="18"/>
    </w:rPr>
  </w:style>
  <w:style w:type="paragraph" w:styleId="a6">
    <w:name w:val="List Paragraph"/>
    <w:basedOn w:val="a"/>
    <w:uiPriority w:val="34"/>
    <w:qFormat/>
    <w:rsid w:val="00F8284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cfun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1271</Characters>
  <Application>Microsoft Office Word</Application>
  <DocSecurity>0</DocSecurity>
  <Lines>10</Lines>
  <Paragraphs>2</Paragraphs>
  <ScaleCrop>false</ScaleCrop>
  <Company>Lenovo</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龚岚</dc:creator>
  <cp:lastModifiedBy>macbook</cp:lastModifiedBy>
  <cp:revision>2</cp:revision>
  <cp:lastPrinted>2014-12-02T08:41:00Z</cp:lastPrinted>
  <dcterms:created xsi:type="dcterms:W3CDTF">2015-07-08T05:33:00Z</dcterms:created>
  <dcterms:modified xsi:type="dcterms:W3CDTF">2015-07-08T05:33:00Z</dcterms:modified>
</cp:coreProperties>
</file>