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C14" w:rsidRPr="001952B6" w:rsidRDefault="00CC150C" w:rsidP="006D1FA4">
      <w:pPr>
        <w:pStyle w:val="Default"/>
        <w:jc w:val="center"/>
        <w:rPr>
          <w:b/>
          <w:sz w:val="28"/>
          <w:szCs w:val="28"/>
        </w:rPr>
      </w:pPr>
      <w:r w:rsidRPr="001952B6">
        <w:rPr>
          <w:rFonts w:hint="eastAsia"/>
          <w:b/>
          <w:sz w:val="28"/>
          <w:szCs w:val="28"/>
        </w:rPr>
        <w:t>信诚中证TMT产业主题指数分级</w:t>
      </w:r>
    </w:p>
    <w:p w:rsidR="00C34B5A" w:rsidRPr="001952B6" w:rsidRDefault="00CC150C" w:rsidP="00EF4C14">
      <w:pPr>
        <w:pStyle w:val="Default"/>
        <w:jc w:val="center"/>
        <w:rPr>
          <w:b/>
          <w:sz w:val="28"/>
          <w:szCs w:val="28"/>
        </w:rPr>
      </w:pPr>
      <w:r w:rsidRPr="001952B6">
        <w:rPr>
          <w:rFonts w:hint="eastAsia"/>
          <w:b/>
          <w:sz w:val="28"/>
          <w:szCs w:val="28"/>
        </w:rPr>
        <w:t>证券投资基金</w:t>
      </w:r>
      <w:r w:rsidR="00C34B5A" w:rsidRPr="001952B6">
        <w:rPr>
          <w:rFonts w:hint="eastAsia"/>
          <w:b/>
          <w:sz w:val="28"/>
          <w:szCs w:val="28"/>
        </w:rPr>
        <w:t>办理不定期份额折算业务的公告</w:t>
      </w:r>
    </w:p>
    <w:p w:rsidR="00C34B5A" w:rsidRPr="001952B6" w:rsidRDefault="00C34B5A" w:rsidP="00335631">
      <w:pPr>
        <w:spacing w:line="360" w:lineRule="auto"/>
        <w:ind w:firstLineChars="200" w:firstLine="420"/>
        <w:rPr>
          <w:szCs w:val="21"/>
        </w:rPr>
      </w:pPr>
    </w:p>
    <w:p w:rsidR="00C34B5A" w:rsidRPr="008A1BF3" w:rsidRDefault="00C34B5A" w:rsidP="008A1BF3">
      <w:pPr>
        <w:spacing w:line="360" w:lineRule="auto"/>
        <w:ind w:firstLineChars="200" w:firstLine="420"/>
        <w:rPr>
          <w:rFonts w:cstheme="minorHAnsi"/>
          <w:szCs w:val="21"/>
        </w:rPr>
      </w:pPr>
      <w:r w:rsidRPr="008A1BF3">
        <w:rPr>
          <w:rFonts w:cstheme="minorHAnsi"/>
          <w:szCs w:val="21"/>
        </w:rPr>
        <w:t>根据《</w:t>
      </w:r>
      <w:r w:rsidR="00CC150C" w:rsidRPr="008A1BF3">
        <w:rPr>
          <w:rFonts w:cstheme="minorHAnsi"/>
          <w:szCs w:val="21"/>
        </w:rPr>
        <w:t>信诚中证</w:t>
      </w:r>
      <w:r w:rsidR="00CC150C" w:rsidRPr="008A1BF3">
        <w:rPr>
          <w:rFonts w:cstheme="minorHAnsi"/>
          <w:szCs w:val="21"/>
        </w:rPr>
        <w:t>TMT</w:t>
      </w:r>
      <w:r w:rsidR="00CC150C" w:rsidRPr="008A1BF3">
        <w:rPr>
          <w:rFonts w:cstheme="minorHAnsi"/>
          <w:szCs w:val="21"/>
        </w:rPr>
        <w:t>产业主题指数分级证券投资基金</w:t>
      </w:r>
      <w:r w:rsidRPr="008A1BF3">
        <w:rPr>
          <w:rFonts w:cstheme="minorHAnsi"/>
          <w:szCs w:val="21"/>
        </w:rPr>
        <w:t>基金合同》（简称</w:t>
      </w:r>
      <w:r w:rsidRPr="008A1BF3">
        <w:rPr>
          <w:rFonts w:cstheme="minorHAnsi"/>
          <w:szCs w:val="21"/>
        </w:rPr>
        <w:t>“</w:t>
      </w:r>
      <w:r w:rsidRPr="008A1BF3">
        <w:rPr>
          <w:rFonts w:cstheme="minorHAnsi"/>
          <w:szCs w:val="21"/>
        </w:rPr>
        <w:t>基金合同</w:t>
      </w:r>
      <w:r w:rsidRPr="008A1BF3">
        <w:rPr>
          <w:rFonts w:cstheme="minorHAnsi"/>
          <w:szCs w:val="21"/>
        </w:rPr>
        <w:t>”</w:t>
      </w:r>
      <w:r w:rsidRPr="008A1BF3">
        <w:rPr>
          <w:rFonts w:cstheme="minorHAnsi"/>
          <w:szCs w:val="21"/>
        </w:rPr>
        <w:t>）关于不定期份额折算的相关规定，</w:t>
      </w:r>
      <w:r w:rsidR="00D35F54" w:rsidRPr="008A1BF3">
        <w:rPr>
          <w:rFonts w:eastAsia="宋体" w:cstheme="minorHAnsi"/>
          <w:kern w:val="0"/>
          <w:szCs w:val="21"/>
        </w:rPr>
        <w:t>当信诚中证</w:t>
      </w:r>
      <w:r w:rsidR="00D35F54" w:rsidRPr="008A1BF3">
        <w:rPr>
          <w:rFonts w:eastAsia="宋体" w:cstheme="minorHAnsi"/>
          <w:kern w:val="0"/>
          <w:szCs w:val="21"/>
        </w:rPr>
        <w:t>TMT</w:t>
      </w:r>
      <w:r w:rsidR="00D35F54" w:rsidRPr="008A1BF3">
        <w:rPr>
          <w:rFonts w:eastAsia="宋体" w:cstheme="minorHAnsi"/>
          <w:kern w:val="0"/>
          <w:szCs w:val="21"/>
        </w:rPr>
        <w:t>产业主题指数分级证券投资基金（以下简称</w:t>
      </w:r>
      <w:r w:rsidR="00D35F54" w:rsidRPr="008A1BF3">
        <w:rPr>
          <w:rFonts w:eastAsia="宋体" w:cstheme="minorHAnsi"/>
          <w:kern w:val="0"/>
          <w:szCs w:val="21"/>
        </w:rPr>
        <w:t>“</w:t>
      </w:r>
      <w:r w:rsidR="00D35F54" w:rsidRPr="008A1BF3">
        <w:rPr>
          <w:rFonts w:eastAsia="宋体" w:cstheme="minorHAnsi"/>
          <w:kern w:val="0"/>
          <w:szCs w:val="21"/>
        </w:rPr>
        <w:t>本基金</w:t>
      </w:r>
      <w:r w:rsidR="00D35F54" w:rsidRPr="008A1BF3">
        <w:rPr>
          <w:rFonts w:eastAsia="宋体" w:cstheme="minorHAnsi"/>
          <w:kern w:val="0"/>
          <w:szCs w:val="21"/>
        </w:rPr>
        <w:t>”</w:t>
      </w:r>
      <w:r w:rsidR="00D35F54" w:rsidRPr="008A1BF3">
        <w:rPr>
          <w:rFonts w:eastAsia="宋体" w:cstheme="minorHAnsi"/>
          <w:kern w:val="0"/>
          <w:szCs w:val="21"/>
        </w:rPr>
        <w:t>）之</w:t>
      </w:r>
      <w:r w:rsidR="002F0D90" w:rsidRPr="008A1BF3">
        <w:rPr>
          <w:rFonts w:eastAsia="宋体" w:cstheme="minorHAnsi"/>
          <w:kern w:val="0"/>
          <w:szCs w:val="21"/>
        </w:rPr>
        <w:t>TMT</w:t>
      </w:r>
      <w:r w:rsidR="002F0D90" w:rsidRPr="008A1BF3">
        <w:rPr>
          <w:rFonts w:eastAsia="宋体" w:cstheme="minorHAnsi"/>
          <w:kern w:val="0"/>
          <w:szCs w:val="21"/>
        </w:rPr>
        <w:t>中证</w:t>
      </w:r>
      <w:r w:rsidR="002F0D90" w:rsidRPr="008A1BF3">
        <w:rPr>
          <w:rFonts w:eastAsia="宋体" w:cstheme="minorHAnsi"/>
          <w:kern w:val="0"/>
          <w:szCs w:val="21"/>
        </w:rPr>
        <w:t>B</w:t>
      </w:r>
      <w:r w:rsidR="00D35F54" w:rsidRPr="008A1BF3">
        <w:rPr>
          <w:rFonts w:eastAsia="宋体" w:cstheme="minorHAnsi"/>
          <w:kern w:val="0"/>
          <w:szCs w:val="21"/>
        </w:rPr>
        <w:t>份额的基金份额净值小于或等于</w:t>
      </w:r>
      <w:r w:rsidR="00D35F54" w:rsidRPr="008A1BF3">
        <w:rPr>
          <w:rFonts w:eastAsia="宋体" w:cstheme="minorHAnsi"/>
          <w:kern w:val="0"/>
          <w:szCs w:val="21"/>
        </w:rPr>
        <w:t>0.250</w:t>
      </w:r>
      <w:r w:rsidR="00D35F54" w:rsidRPr="008A1BF3">
        <w:rPr>
          <w:rFonts w:eastAsia="宋体" w:cstheme="minorHAnsi"/>
          <w:kern w:val="0"/>
          <w:szCs w:val="21"/>
        </w:rPr>
        <w:t>元时，本基金将进行不定期份额折算</w:t>
      </w:r>
      <w:r w:rsidRPr="008A1BF3">
        <w:rPr>
          <w:rFonts w:cstheme="minorHAnsi"/>
          <w:szCs w:val="21"/>
        </w:rPr>
        <w:t>。</w:t>
      </w:r>
      <w:bookmarkStart w:id="0" w:name="_GoBack"/>
      <w:bookmarkEnd w:id="0"/>
    </w:p>
    <w:p w:rsidR="00C34B5A" w:rsidRPr="008A1BF3" w:rsidRDefault="00C34B5A" w:rsidP="008A1BF3">
      <w:pPr>
        <w:spacing w:line="360" w:lineRule="auto"/>
        <w:ind w:firstLineChars="200" w:firstLine="420"/>
        <w:rPr>
          <w:rFonts w:cstheme="minorHAnsi"/>
          <w:szCs w:val="21"/>
        </w:rPr>
      </w:pPr>
      <w:r w:rsidRPr="008A1BF3">
        <w:rPr>
          <w:rFonts w:cstheme="minorHAnsi"/>
          <w:szCs w:val="21"/>
        </w:rPr>
        <w:t>截至</w:t>
      </w:r>
      <w:r w:rsidR="00CC150C" w:rsidRPr="008A1BF3">
        <w:rPr>
          <w:rFonts w:cstheme="minorHAnsi"/>
          <w:szCs w:val="21"/>
        </w:rPr>
        <w:t>2015</w:t>
      </w:r>
      <w:r w:rsidR="00CC150C" w:rsidRPr="008A1BF3">
        <w:rPr>
          <w:rFonts w:cstheme="minorHAnsi"/>
          <w:szCs w:val="21"/>
        </w:rPr>
        <w:t>年</w:t>
      </w:r>
      <w:r w:rsidR="00CC78CB" w:rsidRPr="008A1BF3">
        <w:rPr>
          <w:rFonts w:cstheme="minorHAnsi"/>
          <w:szCs w:val="21"/>
        </w:rPr>
        <w:t>7</w:t>
      </w:r>
      <w:r w:rsidR="00CC150C" w:rsidRPr="008A1BF3">
        <w:rPr>
          <w:rFonts w:cstheme="minorHAnsi"/>
          <w:szCs w:val="21"/>
        </w:rPr>
        <w:t>月</w:t>
      </w:r>
      <w:r w:rsidR="008A1BF3" w:rsidRPr="008A1BF3">
        <w:rPr>
          <w:rFonts w:cstheme="minorHAnsi"/>
          <w:szCs w:val="21"/>
        </w:rPr>
        <w:t>3</w:t>
      </w:r>
      <w:r w:rsidR="00CC150C" w:rsidRPr="008A1BF3">
        <w:rPr>
          <w:rFonts w:cstheme="minorHAnsi"/>
          <w:szCs w:val="21"/>
        </w:rPr>
        <w:t>日</w:t>
      </w:r>
      <w:r w:rsidRPr="008A1BF3">
        <w:rPr>
          <w:rFonts w:cstheme="minorHAnsi"/>
          <w:szCs w:val="21"/>
        </w:rPr>
        <w:t>，</w:t>
      </w:r>
      <w:r w:rsidR="000D7BAA" w:rsidRPr="008A1BF3">
        <w:rPr>
          <w:rFonts w:cstheme="minorHAnsi"/>
          <w:szCs w:val="21"/>
        </w:rPr>
        <w:t>本基金</w:t>
      </w:r>
      <w:r w:rsidR="00D35F54" w:rsidRPr="008A1BF3">
        <w:rPr>
          <w:rFonts w:eastAsia="宋体" w:cstheme="minorHAnsi"/>
          <w:kern w:val="0"/>
          <w:szCs w:val="21"/>
        </w:rPr>
        <w:t>TMT</w:t>
      </w:r>
      <w:r w:rsidR="00D35F54" w:rsidRPr="008A1BF3">
        <w:rPr>
          <w:rFonts w:eastAsia="宋体" w:cstheme="minorHAnsi"/>
          <w:kern w:val="0"/>
          <w:szCs w:val="21"/>
        </w:rPr>
        <w:t>中证</w:t>
      </w:r>
      <w:r w:rsidR="00D35F54" w:rsidRPr="008A1BF3">
        <w:rPr>
          <w:rFonts w:eastAsia="宋体" w:cstheme="minorHAnsi"/>
          <w:kern w:val="0"/>
          <w:szCs w:val="21"/>
        </w:rPr>
        <w:t>B</w:t>
      </w:r>
      <w:r w:rsidRPr="008A1BF3">
        <w:rPr>
          <w:rFonts w:cstheme="minorHAnsi"/>
          <w:szCs w:val="21"/>
        </w:rPr>
        <w:t>份额的基金份额净值</w:t>
      </w:r>
      <w:r w:rsidRPr="00721C76">
        <w:rPr>
          <w:rFonts w:cstheme="minorHAnsi"/>
          <w:szCs w:val="21"/>
        </w:rPr>
        <w:t>为</w:t>
      </w:r>
      <w:r w:rsidR="00D35F54" w:rsidRPr="00721C76">
        <w:rPr>
          <w:rFonts w:cstheme="minorHAnsi"/>
          <w:szCs w:val="21"/>
        </w:rPr>
        <w:t>0.</w:t>
      </w:r>
      <w:r w:rsidR="00721C76" w:rsidRPr="00721C76">
        <w:rPr>
          <w:rFonts w:cstheme="minorHAnsi" w:hint="eastAsia"/>
          <w:szCs w:val="21"/>
        </w:rPr>
        <w:t>213</w:t>
      </w:r>
      <w:r w:rsidRPr="00721C76">
        <w:rPr>
          <w:rFonts w:cstheme="minorHAnsi"/>
          <w:szCs w:val="21"/>
        </w:rPr>
        <w:t>元</w:t>
      </w:r>
      <w:r w:rsidRPr="008A1BF3">
        <w:rPr>
          <w:rFonts w:cstheme="minorHAnsi"/>
          <w:szCs w:val="21"/>
        </w:rPr>
        <w:t>，</w:t>
      </w:r>
      <w:r w:rsidR="00550912" w:rsidRPr="008A1BF3">
        <w:rPr>
          <w:rFonts w:cstheme="minorHAnsi"/>
          <w:szCs w:val="21"/>
        </w:rPr>
        <w:t>达到基金合同规定的不定期份额折算阀值</w:t>
      </w:r>
      <w:r w:rsidR="00550912" w:rsidRPr="008A1BF3">
        <w:rPr>
          <w:rFonts w:cstheme="minorHAnsi"/>
          <w:szCs w:val="21"/>
        </w:rPr>
        <w:t>0.250</w:t>
      </w:r>
      <w:r w:rsidR="00550912" w:rsidRPr="008A1BF3">
        <w:rPr>
          <w:rFonts w:cstheme="minorHAnsi"/>
          <w:szCs w:val="21"/>
        </w:rPr>
        <w:t>元</w:t>
      </w:r>
      <w:r w:rsidRPr="008A1BF3">
        <w:rPr>
          <w:rFonts w:cstheme="minorHAnsi"/>
          <w:szCs w:val="21"/>
        </w:rPr>
        <w:t>。根据本基金基金合同以及深圳证券交易所、中国证券登记结算有限责任公司的相关业务规定，本基金将以</w:t>
      </w:r>
      <w:r w:rsidR="00CC150C" w:rsidRPr="008A1BF3">
        <w:rPr>
          <w:rFonts w:cstheme="minorHAnsi"/>
          <w:szCs w:val="21"/>
        </w:rPr>
        <w:t>2015</w:t>
      </w:r>
      <w:r w:rsidR="00CC150C" w:rsidRPr="008A1BF3">
        <w:rPr>
          <w:rFonts w:cstheme="minorHAnsi"/>
          <w:szCs w:val="21"/>
        </w:rPr>
        <w:t>年</w:t>
      </w:r>
      <w:r w:rsidR="00CC78CB" w:rsidRPr="008A1BF3">
        <w:rPr>
          <w:rFonts w:cstheme="minorHAnsi"/>
          <w:szCs w:val="21"/>
        </w:rPr>
        <w:t>7</w:t>
      </w:r>
      <w:r w:rsidR="00CC150C" w:rsidRPr="008A1BF3">
        <w:rPr>
          <w:rFonts w:cstheme="minorHAnsi"/>
          <w:szCs w:val="21"/>
        </w:rPr>
        <w:t>月</w:t>
      </w:r>
      <w:r w:rsidR="008A1BF3" w:rsidRPr="008A1BF3">
        <w:rPr>
          <w:rFonts w:cstheme="minorHAnsi"/>
          <w:szCs w:val="21"/>
        </w:rPr>
        <w:t>6</w:t>
      </w:r>
      <w:r w:rsidR="00CC150C" w:rsidRPr="008A1BF3">
        <w:rPr>
          <w:rFonts w:cstheme="minorHAnsi"/>
          <w:szCs w:val="21"/>
        </w:rPr>
        <w:t>日</w:t>
      </w:r>
      <w:r w:rsidRPr="008A1BF3">
        <w:rPr>
          <w:rFonts w:cstheme="minorHAnsi"/>
          <w:szCs w:val="21"/>
        </w:rPr>
        <w:t>为基准日办理不定期份额折算业务。相关事项公告如下：</w:t>
      </w:r>
    </w:p>
    <w:p w:rsidR="00C34B5A" w:rsidRPr="008A1BF3" w:rsidRDefault="00C34B5A" w:rsidP="008A1BF3">
      <w:pPr>
        <w:spacing w:line="360" w:lineRule="auto"/>
        <w:ind w:firstLineChars="200" w:firstLine="420"/>
        <w:outlineLvl w:val="0"/>
        <w:rPr>
          <w:rFonts w:cstheme="minorHAnsi"/>
          <w:szCs w:val="21"/>
        </w:rPr>
      </w:pPr>
      <w:r w:rsidRPr="008A1BF3">
        <w:rPr>
          <w:rFonts w:cstheme="minorHAnsi"/>
          <w:szCs w:val="21"/>
        </w:rPr>
        <w:t>一、基金份额折算基准日</w:t>
      </w:r>
    </w:p>
    <w:p w:rsidR="005608D1" w:rsidRPr="008A1BF3" w:rsidRDefault="00C34B5A" w:rsidP="008A1BF3">
      <w:pPr>
        <w:spacing w:line="360" w:lineRule="auto"/>
        <w:ind w:firstLineChars="200" w:firstLine="420"/>
        <w:rPr>
          <w:rFonts w:cstheme="minorHAnsi"/>
          <w:szCs w:val="21"/>
        </w:rPr>
      </w:pPr>
      <w:r w:rsidRPr="008A1BF3">
        <w:rPr>
          <w:rFonts w:cstheme="minorHAnsi"/>
          <w:szCs w:val="21"/>
        </w:rPr>
        <w:t>本次不定期份额折算的基准日为</w:t>
      </w:r>
      <w:r w:rsidR="00CC150C" w:rsidRPr="008A1BF3">
        <w:rPr>
          <w:rFonts w:cstheme="minorHAnsi"/>
          <w:szCs w:val="21"/>
        </w:rPr>
        <w:t>2015</w:t>
      </w:r>
      <w:r w:rsidR="00CC150C" w:rsidRPr="008A1BF3">
        <w:rPr>
          <w:rFonts w:cstheme="minorHAnsi"/>
          <w:szCs w:val="21"/>
        </w:rPr>
        <w:t>年</w:t>
      </w:r>
      <w:r w:rsidR="00CC78CB" w:rsidRPr="008A1BF3">
        <w:rPr>
          <w:rFonts w:cstheme="minorHAnsi"/>
          <w:szCs w:val="21"/>
        </w:rPr>
        <w:t>7</w:t>
      </w:r>
      <w:r w:rsidR="00CC150C" w:rsidRPr="008A1BF3">
        <w:rPr>
          <w:rFonts w:cstheme="minorHAnsi"/>
          <w:szCs w:val="21"/>
        </w:rPr>
        <w:t>月</w:t>
      </w:r>
      <w:r w:rsidR="008A1BF3" w:rsidRPr="008A1BF3">
        <w:rPr>
          <w:rFonts w:cstheme="minorHAnsi"/>
          <w:szCs w:val="21"/>
        </w:rPr>
        <w:t>6</w:t>
      </w:r>
      <w:r w:rsidR="00CC150C" w:rsidRPr="008A1BF3">
        <w:rPr>
          <w:rFonts w:cstheme="minorHAnsi"/>
          <w:szCs w:val="21"/>
        </w:rPr>
        <w:t>日</w:t>
      </w:r>
      <w:r w:rsidRPr="008A1BF3">
        <w:rPr>
          <w:rFonts w:cstheme="minorHAnsi"/>
          <w:szCs w:val="21"/>
        </w:rPr>
        <w:t>。</w:t>
      </w:r>
    </w:p>
    <w:p w:rsidR="003C52F2" w:rsidRPr="008A1BF3" w:rsidRDefault="003C52F2" w:rsidP="008A1BF3">
      <w:pPr>
        <w:spacing w:line="360" w:lineRule="auto"/>
        <w:ind w:firstLineChars="200" w:firstLine="420"/>
        <w:rPr>
          <w:rFonts w:cstheme="minorHAnsi"/>
          <w:szCs w:val="21"/>
        </w:rPr>
      </w:pPr>
    </w:p>
    <w:p w:rsidR="00C34B5A" w:rsidRPr="008A1BF3" w:rsidRDefault="00C34B5A" w:rsidP="008A1BF3">
      <w:pPr>
        <w:spacing w:line="360" w:lineRule="auto"/>
        <w:ind w:firstLineChars="200" w:firstLine="420"/>
        <w:outlineLvl w:val="0"/>
        <w:rPr>
          <w:rFonts w:cstheme="minorHAnsi"/>
          <w:szCs w:val="21"/>
        </w:rPr>
      </w:pPr>
      <w:r w:rsidRPr="008A1BF3">
        <w:rPr>
          <w:rFonts w:cstheme="minorHAnsi"/>
          <w:szCs w:val="21"/>
        </w:rPr>
        <w:t>二、基金份额折算对象</w:t>
      </w:r>
    </w:p>
    <w:p w:rsidR="005608D1" w:rsidRPr="008A1BF3" w:rsidRDefault="00C34B5A" w:rsidP="00986499">
      <w:pPr>
        <w:spacing w:line="360" w:lineRule="auto"/>
        <w:ind w:firstLineChars="200" w:firstLine="420"/>
        <w:rPr>
          <w:rFonts w:cstheme="minorHAnsi"/>
          <w:szCs w:val="21"/>
        </w:rPr>
      </w:pPr>
      <w:r w:rsidRPr="008A1BF3">
        <w:rPr>
          <w:rFonts w:cstheme="minorHAnsi"/>
          <w:szCs w:val="21"/>
        </w:rPr>
        <w:t>基金份额折算基准日登记在册的</w:t>
      </w:r>
      <w:r w:rsidR="006D1FA4" w:rsidRPr="008A1BF3">
        <w:rPr>
          <w:rFonts w:cstheme="minorHAnsi"/>
          <w:szCs w:val="21"/>
        </w:rPr>
        <w:t>信诚</w:t>
      </w:r>
      <w:r w:rsidR="00CC150C" w:rsidRPr="008A1BF3">
        <w:rPr>
          <w:rFonts w:cstheme="minorHAnsi"/>
          <w:szCs w:val="21"/>
        </w:rPr>
        <w:t>TMT</w:t>
      </w:r>
      <w:r w:rsidR="006D1FA4" w:rsidRPr="008A1BF3">
        <w:rPr>
          <w:rFonts w:cstheme="minorHAnsi"/>
          <w:szCs w:val="21"/>
        </w:rPr>
        <w:t>份额</w:t>
      </w:r>
      <w:r w:rsidR="00550912" w:rsidRPr="008A1BF3">
        <w:rPr>
          <w:rFonts w:cstheme="minorHAnsi"/>
          <w:szCs w:val="21"/>
        </w:rPr>
        <w:t>（场内简称</w:t>
      </w:r>
      <w:r w:rsidR="00550912" w:rsidRPr="008A1BF3">
        <w:rPr>
          <w:rFonts w:cstheme="minorHAnsi"/>
          <w:szCs w:val="21"/>
        </w:rPr>
        <w:t>“</w:t>
      </w:r>
      <w:r w:rsidR="00550912" w:rsidRPr="008A1BF3">
        <w:rPr>
          <w:rFonts w:cstheme="minorHAnsi"/>
          <w:szCs w:val="21"/>
        </w:rPr>
        <w:t>信诚</w:t>
      </w:r>
      <w:r w:rsidR="00550912" w:rsidRPr="008A1BF3">
        <w:rPr>
          <w:rFonts w:cstheme="minorHAnsi"/>
          <w:szCs w:val="21"/>
        </w:rPr>
        <w:t>TMT”</w:t>
      </w:r>
      <w:r w:rsidR="00550912" w:rsidRPr="008A1BF3">
        <w:rPr>
          <w:rFonts w:cstheme="minorHAnsi"/>
          <w:szCs w:val="21"/>
        </w:rPr>
        <w:t>，交易代码：</w:t>
      </w:r>
      <w:r w:rsidR="00550912" w:rsidRPr="008A1BF3">
        <w:rPr>
          <w:rFonts w:cstheme="minorHAnsi"/>
          <w:szCs w:val="21"/>
        </w:rPr>
        <w:t>1655</w:t>
      </w:r>
      <w:r w:rsidR="00AC1A5B" w:rsidRPr="008A1BF3">
        <w:rPr>
          <w:rFonts w:cstheme="minorHAnsi"/>
          <w:szCs w:val="21"/>
        </w:rPr>
        <w:t>22</w:t>
      </w:r>
      <w:r w:rsidR="00550912" w:rsidRPr="008A1BF3">
        <w:rPr>
          <w:rFonts w:cstheme="minorHAnsi"/>
          <w:szCs w:val="21"/>
        </w:rPr>
        <w:t>）</w:t>
      </w:r>
      <w:r w:rsidR="006D1FA4" w:rsidRPr="008A1BF3">
        <w:rPr>
          <w:rFonts w:cstheme="minorHAnsi"/>
          <w:szCs w:val="21"/>
        </w:rPr>
        <w:t>、</w:t>
      </w:r>
      <w:r w:rsidR="00CC150C" w:rsidRPr="008A1BF3">
        <w:rPr>
          <w:rFonts w:cstheme="minorHAnsi"/>
          <w:szCs w:val="21"/>
        </w:rPr>
        <w:t>信诚中证</w:t>
      </w:r>
      <w:r w:rsidR="00CC150C" w:rsidRPr="008A1BF3">
        <w:rPr>
          <w:rFonts w:cstheme="minorHAnsi"/>
          <w:szCs w:val="21"/>
        </w:rPr>
        <w:t>TMT</w:t>
      </w:r>
      <w:r w:rsidR="00CC150C" w:rsidRPr="008A1BF3">
        <w:rPr>
          <w:rFonts w:cstheme="minorHAnsi"/>
          <w:szCs w:val="21"/>
        </w:rPr>
        <w:t>产业主题指数分级证券投资基金</w:t>
      </w:r>
      <w:r w:rsidR="006D1FA4" w:rsidRPr="008A1BF3">
        <w:rPr>
          <w:rFonts w:cstheme="minorHAnsi"/>
          <w:szCs w:val="21"/>
        </w:rPr>
        <w:t>A</w:t>
      </w:r>
      <w:r w:rsidR="006D1FA4" w:rsidRPr="008A1BF3">
        <w:rPr>
          <w:rFonts w:cstheme="minorHAnsi"/>
          <w:szCs w:val="21"/>
        </w:rPr>
        <w:t>份额</w:t>
      </w:r>
      <w:r w:rsidR="00EE319F" w:rsidRPr="008A1BF3">
        <w:rPr>
          <w:rFonts w:cstheme="minorHAnsi"/>
          <w:szCs w:val="21"/>
        </w:rPr>
        <w:t>（</w:t>
      </w:r>
      <w:r w:rsidR="00550912" w:rsidRPr="008A1BF3">
        <w:rPr>
          <w:rFonts w:cstheme="minorHAnsi"/>
          <w:szCs w:val="21"/>
        </w:rPr>
        <w:t>场内</w:t>
      </w:r>
      <w:r w:rsidR="00EE319F" w:rsidRPr="008A1BF3">
        <w:rPr>
          <w:rFonts w:cstheme="minorHAnsi"/>
          <w:szCs w:val="21"/>
        </w:rPr>
        <w:t>简称</w:t>
      </w:r>
      <w:r w:rsidR="00EE319F" w:rsidRPr="008A1BF3">
        <w:rPr>
          <w:rFonts w:cstheme="minorHAnsi"/>
          <w:szCs w:val="21"/>
        </w:rPr>
        <w:t>“</w:t>
      </w:r>
      <w:r w:rsidR="00CC150C" w:rsidRPr="008A1BF3">
        <w:rPr>
          <w:rFonts w:cstheme="minorHAnsi"/>
          <w:szCs w:val="21"/>
        </w:rPr>
        <w:t>TMT</w:t>
      </w:r>
      <w:r w:rsidR="00CC150C" w:rsidRPr="008A1BF3">
        <w:rPr>
          <w:rFonts w:cstheme="minorHAnsi"/>
          <w:szCs w:val="21"/>
        </w:rPr>
        <w:t>中证</w:t>
      </w:r>
      <w:r w:rsidR="00CC150C" w:rsidRPr="008A1BF3">
        <w:rPr>
          <w:rFonts w:cstheme="minorHAnsi"/>
          <w:szCs w:val="21"/>
        </w:rPr>
        <w:t>A</w:t>
      </w:r>
      <w:r w:rsidR="00EE319F" w:rsidRPr="008A1BF3">
        <w:rPr>
          <w:rFonts w:cstheme="minorHAnsi"/>
          <w:szCs w:val="21"/>
        </w:rPr>
        <w:t>”</w:t>
      </w:r>
      <w:r w:rsidR="00EE319F" w:rsidRPr="008A1BF3">
        <w:rPr>
          <w:rFonts w:cstheme="minorHAnsi"/>
          <w:szCs w:val="21"/>
        </w:rPr>
        <w:t>，交易代码：</w:t>
      </w:r>
      <w:r w:rsidR="00CC150C" w:rsidRPr="008A1BF3">
        <w:rPr>
          <w:rFonts w:cstheme="minorHAnsi"/>
          <w:szCs w:val="21"/>
        </w:rPr>
        <w:t>150173</w:t>
      </w:r>
      <w:r w:rsidR="00EE319F" w:rsidRPr="008A1BF3">
        <w:rPr>
          <w:rFonts w:cstheme="minorHAnsi"/>
          <w:szCs w:val="21"/>
        </w:rPr>
        <w:t>）</w:t>
      </w:r>
      <w:r w:rsidR="006D1FA4" w:rsidRPr="008A1BF3">
        <w:rPr>
          <w:rFonts w:cstheme="minorHAnsi"/>
          <w:szCs w:val="21"/>
        </w:rPr>
        <w:t>和</w:t>
      </w:r>
      <w:r w:rsidR="00CC150C" w:rsidRPr="008A1BF3">
        <w:rPr>
          <w:rFonts w:cstheme="minorHAnsi"/>
          <w:szCs w:val="21"/>
        </w:rPr>
        <w:t>信诚中证</w:t>
      </w:r>
      <w:r w:rsidR="00CC150C" w:rsidRPr="008A1BF3">
        <w:rPr>
          <w:rFonts w:cstheme="minorHAnsi"/>
          <w:szCs w:val="21"/>
        </w:rPr>
        <w:t>TMT</w:t>
      </w:r>
      <w:r w:rsidR="00CC150C" w:rsidRPr="008A1BF3">
        <w:rPr>
          <w:rFonts w:cstheme="minorHAnsi"/>
          <w:szCs w:val="21"/>
        </w:rPr>
        <w:t>产业主题指数分级证券投资基金</w:t>
      </w:r>
      <w:r w:rsidR="006D1FA4" w:rsidRPr="008A1BF3">
        <w:rPr>
          <w:rFonts w:cstheme="minorHAnsi"/>
          <w:szCs w:val="21"/>
        </w:rPr>
        <w:t>B</w:t>
      </w:r>
      <w:r w:rsidR="006D1FA4" w:rsidRPr="008A1BF3">
        <w:rPr>
          <w:rFonts w:cstheme="minorHAnsi"/>
          <w:szCs w:val="21"/>
        </w:rPr>
        <w:t>份额</w:t>
      </w:r>
      <w:r w:rsidR="00EE319F" w:rsidRPr="008A1BF3">
        <w:rPr>
          <w:rFonts w:cstheme="minorHAnsi"/>
          <w:szCs w:val="21"/>
        </w:rPr>
        <w:t>（</w:t>
      </w:r>
      <w:r w:rsidR="00550912" w:rsidRPr="008A1BF3">
        <w:rPr>
          <w:rFonts w:cstheme="minorHAnsi"/>
          <w:szCs w:val="21"/>
        </w:rPr>
        <w:t>场内</w:t>
      </w:r>
      <w:r w:rsidR="00EE319F" w:rsidRPr="008A1BF3">
        <w:rPr>
          <w:rFonts w:cstheme="minorHAnsi"/>
          <w:szCs w:val="21"/>
        </w:rPr>
        <w:t>简称</w:t>
      </w:r>
      <w:r w:rsidR="00EE319F" w:rsidRPr="008A1BF3">
        <w:rPr>
          <w:rFonts w:cstheme="minorHAnsi"/>
          <w:szCs w:val="21"/>
        </w:rPr>
        <w:t>“</w:t>
      </w:r>
      <w:r w:rsidR="00CC150C" w:rsidRPr="008A1BF3">
        <w:rPr>
          <w:rFonts w:cstheme="minorHAnsi"/>
          <w:szCs w:val="21"/>
        </w:rPr>
        <w:t>TMT</w:t>
      </w:r>
      <w:r w:rsidR="00CC150C" w:rsidRPr="008A1BF3">
        <w:rPr>
          <w:rFonts w:cstheme="minorHAnsi"/>
          <w:szCs w:val="21"/>
        </w:rPr>
        <w:t>中证</w:t>
      </w:r>
      <w:r w:rsidR="00CC150C" w:rsidRPr="008A1BF3">
        <w:rPr>
          <w:rFonts w:cstheme="minorHAnsi"/>
          <w:szCs w:val="21"/>
        </w:rPr>
        <w:t>B</w:t>
      </w:r>
      <w:r w:rsidR="00EE319F" w:rsidRPr="008A1BF3">
        <w:rPr>
          <w:rFonts w:cstheme="minorHAnsi"/>
          <w:szCs w:val="21"/>
        </w:rPr>
        <w:t>”</w:t>
      </w:r>
      <w:r w:rsidR="00EE319F" w:rsidRPr="008A1BF3">
        <w:rPr>
          <w:rFonts w:cstheme="minorHAnsi"/>
          <w:szCs w:val="21"/>
        </w:rPr>
        <w:t>，交易代码：</w:t>
      </w:r>
      <w:r w:rsidR="00CC150C" w:rsidRPr="008A1BF3">
        <w:rPr>
          <w:rFonts w:cstheme="minorHAnsi"/>
        </w:rPr>
        <w:t>150174</w:t>
      </w:r>
      <w:r w:rsidR="00EE319F" w:rsidRPr="008A1BF3">
        <w:rPr>
          <w:rFonts w:cstheme="minorHAnsi"/>
          <w:szCs w:val="21"/>
        </w:rPr>
        <w:t>）</w:t>
      </w:r>
      <w:r w:rsidRPr="008A1BF3">
        <w:rPr>
          <w:rFonts w:cstheme="minorHAnsi"/>
          <w:szCs w:val="21"/>
        </w:rPr>
        <w:t>。</w:t>
      </w:r>
    </w:p>
    <w:p w:rsidR="003C52F2" w:rsidRPr="008A1BF3" w:rsidRDefault="003C52F2" w:rsidP="00986499">
      <w:pPr>
        <w:spacing w:line="360" w:lineRule="auto"/>
        <w:ind w:firstLineChars="200" w:firstLine="480"/>
        <w:rPr>
          <w:rFonts w:eastAsia="仿宋_GB2312" w:cstheme="minorHAnsi"/>
          <w:sz w:val="24"/>
          <w:szCs w:val="24"/>
        </w:rPr>
      </w:pPr>
    </w:p>
    <w:p w:rsidR="00C34B5A" w:rsidRPr="008A1BF3" w:rsidRDefault="00C34B5A" w:rsidP="008A1BF3">
      <w:pPr>
        <w:spacing w:line="360" w:lineRule="auto"/>
        <w:ind w:firstLineChars="200" w:firstLine="420"/>
        <w:outlineLvl w:val="0"/>
        <w:rPr>
          <w:rFonts w:cstheme="minorHAnsi"/>
          <w:szCs w:val="21"/>
        </w:rPr>
      </w:pPr>
      <w:r w:rsidRPr="008A1BF3">
        <w:rPr>
          <w:rFonts w:cstheme="minorHAnsi"/>
          <w:szCs w:val="21"/>
        </w:rPr>
        <w:t>三、基金份额折算方式</w:t>
      </w:r>
    </w:p>
    <w:p w:rsidR="00C34B5A" w:rsidRPr="008A1BF3" w:rsidRDefault="006D1FA4" w:rsidP="00986499">
      <w:pPr>
        <w:spacing w:line="360" w:lineRule="auto"/>
        <w:ind w:firstLineChars="200" w:firstLine="420"/>
        <w:rPr>
          <w:rFonts w:cstheme="minorHAnsi"/>
          <w:szCs w:val="21"/>
        </w:rPr>
      </w:pPr>
      <w:r w:rsidRPr="008A1BF3">
        <w:rPr>
          <w:rFonts w:cstheme="minorHAnsi"/>
          <w:szCs w:val="21"/>
        </w:rPr>
        <w:t>信诚</w:t>
      </w:r>
      <w:r w:rsidR="00CC150C" w:rsidRPr="008A1BF3">
        <w:rPr>
          <w:rFonts w:cstheme="minorHAnsi"/>
          <w:szCs w:val="21"/>
        </w:rPr>
        <w:t>TMT</w:t>
      </w:r>
      <w:r w:rsidRPr="008A1BF3">
        <w:rPr>
          <w:rFonts w:cstheme="minorHAnsi"/>
          <w:szCs w:val="21"/>
        </w:rPr>
        <w:t>份额、</w:t>
      </w:r>
      <w:r w:rsidR="00CC150C" w:rsidRPr="008A1BF3">
        <w:rPr>
          <w:rFonts w:cstheme="minorHAnsi"/>
          <w:szCs w:val="21"/>
        </w:rPr>
        <w:t>TMT</w:t>
      </w:r>
      <w:r w:rsidR="00CC150C" w:rsidRPr="008A1BF3">
        <w:rPr>
          <w:rFonts w:cstheme="minorHAnsi"/>
          <w:szCs w:val="21"/>
        </w:rPr>
        <w:t>中证</w:t>
      </w:r>
      <w:r w:rsidR="00CC150C" w:rsidRPr="008A1BF3">
        <w:rPr>
          <w:rFonts w:cstheme="minorHAnsi"/>
          <w:szCs w:val="21"/>
        </w:rPr>
        <w:t>A</w:t>
      </w:r>
      <w:r w:rsidRPr="008A1BF3">
        <w:rPr>
          <w:rFonts w:cstheme="minorHAnsi"/>
          <w:szCs w:val="21"/>
        </w:rPr>
        <w:t>份额和</w:t>
      </w:r>
      <w:r w:rsidR="00CC150C" w:rsidRPr="008A1BF3">
        <w:rPr>
          <w:rFonts w:cstheme="minorHAnsi"/>
          <w:szCs w:val="21"/>
        </w:rPr>
        <w:t>TMT</w:t>
      </w:r>
      <w:r w:rsidR="00CC150C" w:rsidRPr="008A1BF3">
        <w:rPr>
          <w:rFonts w:cstheme="minorHAnsi"/>
          <w:szCs w:val="21"/>
        </w:rPr>
        <w:t>中证</w:t>
      </w:r>
      <w:r w:rsidR="00CC150C" w:rsidRPr="008A1BF3">
        <w:rPr>
          <w:rFonts w:cstheme="minorHAnsi"/>
          <w:szCs w:val="21"/>
        </w:rPr>
        <w:t>B</w:t>
      </w:r>
      <w:r w:rsidRPr="008A1BF3">
        <w:rPr>
          <w:rFonts w:cstheme="minorHAnsi"/>
          <w:szCs w:val="21"/>
        </w:rPr>
        <w:t>份额</w:t>
      </w:r>
      <w:r w:rsidR="00C34B5A" w:rsidRPr="008A1BF3">
        <w:rPr>
          <w:rFonts w:cstheme="minorHAnsi"/>
          <w:szCs w:val="21"/>
        </w:rPr>
        <w:t>按照《基金合同》</w:t>
      </w:r>
      <w:r w:rsidR="00C34B5A" w:rsidRPr="008A1BF3">
        <w:rPr>
          <w:rFonts w:cstheme="minorHAnsi"/>
          <w:szCs w:val="21"/>
        </w:rPr>
        <w:t>“</w:t>
      </w:r>
      <w:r w:rsidR="00C34B5A" w:rsidRPr="008A1BF3">
        <w:rPr>
          <w:rFonts w:cstheme="minorHAnsi"/>
          <w:szCs w:val="21"/>
        </w:rPr>
        <w:t>第二十</w:t>
      </w:r>
      <w:r w:rsidRPr="008A1BF3">
        <w:rPr>
          <w:rFonts w:cstheme="minorHAnsi"/>
          <w:szCs w:val="21"/>
        </w:rPr>
        <w:t>一</w:t>
      </w:r>
      <w:r w:rsidR="00C34B5A" w:rsidRPr="008A1BF3">
        <w:rPr>
          <w:rFonts w:cstheme="minorHAnsi"/>
          <w:szCs w:val="21"/>
        </w:rPr>
        <w:t>部分、基金份额折算</w:t>
      </w:r>
      <w:r w:rsidR="00C34B5A" w:rsidRPr="008A1BF3">
        <w:rPr>
          <w:rFonts w:cstheme="minorHAnsi"/>
          <w:szCs w:val="21"/>
        </w:rPr>
        <w:t>”</w:t>
      </w:r>
      <w:r w:rsidR="00C34B5A" w:rsidRPr="008A1BF3">
        <w:rPr>
          <w:rFonts w:cstheme="minorHAnsi"/>
          <w:szCs w:val="21"/>
        </w:rPr>
        <w:t>规则进行不定期份额折算。</w:t>
      </w:r>
    </w:p>
    <w:p w:rsidR="00C34B5A" w:rsidRPr="008A1BF3" w:rsidRDefault="00FE1536" w:rsidP="00986499">
      <w:pPr>
        <w:spacing w:line="360" w:lineRule="auto"/>
        <w:ind w:firstLineChars="200" w:firstLine="420"/>
        <w:rPr>
          <w:rFonts w:cstheme="minorHAnsi"/>
          <w:szCs w:val="21"/>
        </w:rPr>
      </w:pPr>
      <w:r w:rsidRPr="008A1BF3">
        <w:rPr>
          <w:rFonts w:cstheme="minorHAnsi"/>
          <w:szCs w:val="21"/>
        </w:rPr>
        <w:t>当达到不定期折算条件时，</w:t>
      </w:r>
      <w:r w:rsidR="00626D31" w:rsidRPr="008A1BF3">
        <w:rPr>
          <w:rFonts w:cstheme="minorHAnsi"/>
          <w:szCs w:val="21"/>
        </w:rPr>
        <w:t>本基金将在基金份额折算日分别对信诚</w:t>
      </w:r>
      <w:r w:rsidR="00626D31" w:rsidRPr="008A1BF3">
        <w:rPr>
          <w:rFonts w:cstheme="minorHAnsi"/>
          <w:szCs w:val="21"/>
        </w:rPr>
        <w:t>TMT</w:t>
      </w:r>
      <w:r w:rsidR="00626D31" w:rsidRPr="008A1BF3">
        <w:rPr>
          <w:rFonts w:cstheme="minorHAnsi"/>
          <w:szCs w:val="21"/>
        </w:rPr>
        <w:t>份额、</w:t>
      </w:r>
      <w:r w:rsidR="00B8404E" w:rsidRPr="008A1BF3">
        <w:rPr>
          <w:rFonts w:cstheme="minorHAnsi"/>
          <w:szCs w:val="21"/>
        </w:rPr>
        <w:t>TMT</w:t>
      </w:r>
      <w:r w:rsidR="00B8404E" w:rsidRPr="008A1BF3">
        <w:rPr>
          <w:rFonts w:cstheme="minorHAnsi"/>
          <w:szCs w:val="21"/>
        </w:rPr>
        <w:t>中证</w:t>
      </w:r>
      <w:r w:rsidR="00B8404E" w:rsidRPr="008A1BF3">
        <w:rPr>
          <w:rFonts w:cstheme="minorHAnsi"/>
          <w:szCs w:val="21"/>
        </w:rPr>
        <w:t>A</w:t>
      </w:r>
      <w:r w:rsidR="00626D31" w:rsidRPr="008A1BF3">
        <w:rPr>
          <w:rFonts w:cstheme="minorHAnsi"/>
          <w:szCs w:val="21"/>
        </w:rPr>
        <w:t>份额和</w:t>
      </w:r>
      <w:r w:rsidR="00B8404E" w:rsidRPr="008A1BF3">
        <w:rPr>
          <w:rFonts w:cstheme="minorHAnsi"/>
          <w:szCs w:val="21"/>
        </w:rPr>
        <w:t>TMT</w:t>
      </w:r>
      <w:r w:rsidR="00B8404E" w:rsidRPr="008A1BF3">
        <w:rPr>
          <w:rFonts w:cstheme="minorHAnsi"/>
          <w:szCs w:val="21"/>
        </w:rPr>
        <w:t>中证</w:t>
      </w:r>
      <w:r w:rsidR="00B8404E" w:rsidRPr="008A1BF3">
        <w:rPr>
          <w:rFonts w:cstheme="minorHAnsi"/>
          <w:szCs w:val="21"/>
        </w:rPr>
        <w:t>B</w:t>
      </w:r>
      <w:r w:rsidR="00626D31" w:rsidRPr="008A1BF3">
        <w:rPr>
          <w:rFonts w:cstheme="minorHAnsi"/>
          <w:szCs w:val="21"/>
        </w:rPr>
        <w:t>份额进行份额折算，份额折算后</w:t>
      </w:r>
      <w:r w:rsidR="00B8404E" w:rsidRPr="008A1BF3">
        <w:rPr>
          <w:rFonts w:cstheme="minorHAnsi"/>
          <w:szCs w:val="21"/>
        </w:rPr>
        <w:t>TMT</w:t>
      </w:r>
      <w:r w:rsidR="00B8404E" w:rsidRPr="008A1BF3">
        <w:rPr>
          <w:rFonts w:cstheme="minorHAnsi"/>
          <w:szCs w:val="21"/>
        </w:rPr>
        <w:t>中证</w:t>
      </w:r>
      <w:r w:rsidR="00B8404E" w:rsidRPr="008A1BF3">
        <w:rPr>
          <w:rFonts w:cstheme="minorHAnsi"/>
          <w:szCs w:val="21"/>
        </w:rPr>
        <w:t>A</w:t>
      </w:r>
      <w:r w:rsidR="00626D31" w:rsidRPr="008A1BF3">
        <w:rPr>
          <w:rFonts w:cstheme="minorHAnsi"/>
          <w:szCs w:val="21"/>
        </w:rPr>
        <w:t>份额和</w:t>
      </w:r>
      <w:r w:rsidR="00B8404E" w:rsidRPr="008A1BF3">
        <w:rPr>
          <w:rFonts w:cstheme="minorHAnsi"/>
          <w:szCs w:val="21"/>
        </w:rPr>
        <w:t>TMT</w:t>
      </w:r>
      <w:r w:rsidR="00B8404E" w:rsidRPr="008A1BF3">
        <w:rPr>
          <w:rFonts w:cstheme="minorHAnsi"/>
          <w:szCs w:val="21"/>
        </w:rPr>
        <w:t>中证</w:t>
      </w:r>
      <w:r w:rsidR="00B8404E" w:rsidRPr="008A1BF3">
        <w:rPr>
          <w:rFonts w:cstheme="minorHAnsi"/>
          <w:szCs w:val="21"/>
        </w:rPr>
        <w:t>B</w:t>
      </w:r>
      <w:r w:rsidR="00626D31" w:rsidRPr="008A1BF3">
        <w:rPr>
          <w:rFonts w:cstheme="minorHAnsi"/>
          <w:szCs w:val="21"/>
        </w:rPr>
        <w:t>份额的比例仍保持</w:t>
      </w:r>
      <w:r w:rsidR="00626D31" w:rsidRPr="008A1BF3">
        <w:rPr>
          <w:rFonts w:cstheme="minorHAnsi"/>
          <w:szCs w:val="21"/>
        </w:rPr>
        <w:t>1</w:t>
      </w:r>
      <w:r w:rsidR="00626D31" w:rsidRPr="008A1BF3">
        <w:rPr>
          <w:rFonts w:cstheme="minorHAnsi"/>
          <w:szCs w:val="21"/>
        </w:rPr>
        <w:t>：</w:t>
      </w:r>
      <w:r w:rsidR="00626D31" w:rsidRPr="008A1BF3">
        <w:rPr>
          <w:rFonts w:cstheme="minorHAnsi"/>
          <w:szCs w:val="21"/>
        </w:rPr>
        <w:t>1</w:t>
      </w:r>
      <w:r w:rsidR="00626D31" w:rsidRPr="008A1BF3">
        <w:rPr>
          <w:rFonts w:cstheme="minorHAnsi"/>
          <w:szCs w:val="21"/>
        </w:rPr>
        <w:t>不变。份额折算后信诚</w:t>
      </w:r>
      <w:r w:rsidR="00626D31" w:rsidRPr="008A1BF3">
        <w:rPr>
          <w:rFonts w:cstheme="minorHAnsi"/>
          <w:szCs w:val="21"/>
        </w:rPr>
        <w:t>TMT</w:t>
      </w:r>
      <w:r w:rsidR="00626D31" w:rsidRPr="008A1BF3">
        <w:rPr>
          <w:rFonts w:cstheme="minorHAnsi"/>
          <w:szCs w:val="21"/>
        </w:rPr>
        <w:t>份额、</w:t>
      </w:r>
      <w:r w:rsidR="00B8404E" w:rsidRPr="008A1BF3">
        <w:rPr>
          <w:rFonts w:cstheme="minorHAnsi"/>
          <w:szCs w:val="21"/>
        </w:rPr>
        <w:t>TMT</w:t>
      </w:r>
      <w:r w:rsidR="00B8404E" w:rsidRPr="008A1BF3">
        <w:rPr>
          <w:rFonts w:cstheme="minorHAnsi"/>
          <w:szCs w:val="21"/>
        </w:rPr>
        <w:t>中证</w:t>
      </w:r>
      <w:r w:rsidR="00B8404E" w:rsidRPr="008A1BF3">
        <w:rPr>
          <w:rFonts w:cstheme="minorHAnsi"/>
          <w:szCs w:val="21"/>
        </w:rPr>
        <w:t>A</w:t>
      </w:r>
      <w:r w:rsidR="00626D31" w:rsidRPr="008A1BF3">
        <w:rPr>
          <w:rFonts w:cstheme="minorHAnsi"/>
          <w:szCs w:val="21"/>
        </w:rPr>
        <w:t>份额和</w:t>
      </w:r>
      <w:r w:rsidR="00B8404E" w:rsidRPr="008A1BF3">
        <w:rPr>
          <w:rFonts w:cstheme="minorHAnsi"/>
          <w:szCs w:val="21"/>
        </w:rPr>
        <w:t>TMT</w:t>
      </w:r>
      <w:r w:rsidR="00B8404E" w:rsidRPr="008A1BF3">
        <w:rPr>
          <w:rFonts w:cstheme="minorHAnsi"/>
          <w:szCs w:val="21"/>
        </w:rPr>
        <w:t>中证</w:t>
      </w:r>
      <w:r w:rsidR="00B8404E" w:rsidRPr="008A1BF3">
        <w:rPr>
          <w:rFonts w:cstheme="minorHAnsi"/>
          <w:szCs w:val="21"/>
        </w:rPr>
        <w:t>B</w:t>
      </w:r>
      <w:r w:rsidR="00626D31" w:rsidRPr="008A1BF3">
        <w:rPr>
          <w:rFonts w:cstheme="minorHAnsi"/>
          <w:szCs w:val="21"/>
        </w:rPr>
        <w:t>份额的基金份额净值均调整为</w:t>
      </w:r>
      <w:r w:rsidR="00626D31" w:rsidRPr="008A1BF3">
        <w:rPr>
          <w:rFonts w:cstheme="minorHAnsi"/>
          <w:szCs w:val="21"/>
        </w:rPr>
        <w:t>1.000</w:t>
      </w:r>
      <w:r w:rsidR="00626D31" w:rsidRPr="008A1BF3">
        <w:rPr>
          <w:rFonts w:cstheme="minorHAnsi"/>
          <w:szCs w:val="21"/>
        </w:rPr>
        <w:t>元，信诚</w:t>
      </w:r>
      <w:r w:rsidR="00626D31" w:rsidRPr="008A1BF3">
        <w:rPr>
          <w:rFonts w:cstheme="minorHAnsi"/>
          <w:szCs w:val="21"/>
        </w:rPr>
        <w:t>TMT</w:t>
      </w:r>
      <w:r w:rsidR="00626D31" w:rsidRPr="008A1BF3">
        <w:rPr>
          <w:rFonts w:cstheme="minorHAnsi"/>
          <w:szCs w:val="21"/>
        </w:rPr>
        <w:t>份额、</w:t>
      </w:r>
      <w:r w:rsidR="00B8404E" w:rsidRPr="008A1BF3">
        <w:rPr>
          <w:rFonts w:cstheme="minorHAnsi"/>
          <w:szCs w:val="21"/>
        </w:rPr>
        <w:t>TMT</w:t>
      </w:r>
      <w:r w:rsidR="00B8404E" w:rsidRPr="008A1BF3">
        <w:rPr>
          <w:rFonts w:cstheme="minorHAnsi"/>
          <w:szCs w:val="21"/>
        </w:rPr>
        <w:t>中证</w:t>
      </w:r>
      <w:r w:rsidR="00B8404E" w:rsidRPr="008A1BF3">
        <w:rPr>
          <w:rFonts w:cstheme="minorHAnsi"/>
          <w:szCs w:val="21"/>
        </w:rPr>
        <w:t>A</w:t>
      </w:r>
      <w:r w:rsidR="00626D31" w:rsidRPr="008A1BF3">
        <w:rPr>
          <w:rFonts w:cstheme="minorHAnsi"/>
          <w:szCs w:val="21"/>
        </w:rPr>
        <w:t>份额和</w:t>
      </w:r>
      <w:r w:rsidR="00B8404E" w:rsidRPr="008A1BF3">
        <w:rPr>
          <w:rFonts w:cstheme="minorHAnsi"/>
          <w:szCs w:val="21"/>
        </w:rPr>
        <w:t>TMT</w:t>
      </w:r>
      <w:r w:rsidR="00B8404E" w:rsidRPr="008A1BF3">
        <w:rPr>
          <w:rFonts w:cstheme="minorHAnsi"/>
          <w:szCs w:val="21"/>
        </w:rPr>
        <w:t>中证</w:t>
      </w:r>
      <w:r w:rsidR="00B8404E" w:rsidRPr="008A1BF3">
        <w:rPr>
          <w:rFonts w:cstheme="minorHAnsi"/>
          <w:szCs w:val="21"/>
        </w:rPr>
        <w:t>B</w:t>
      </w:r>
      <w:r w:rsidR="00626D31" w:rsidRPr="008A1BF3">
        <w:rPr>
          <w:rFonts w:cstheme="minorHAnsi"/>
          <w:szCs w:val="21"/>
        </w:rPr>
        <w:t>份额的份额数将得到相应的缩减。</w:t>
      </w:r>
      <w:r w:rsidR="00C34B5A" w:rsidRPr="008A1BF3">
        <w:rPr>
          <w:rFonts w:cstheme="minorHAnsi"/>
          <w:szCs w:val="21"/>
        </w:rPr>
        <w:t>具体折算原则及公式如下：</w:t>
      </w:r>
    </w:p>
    <w:p w:rsidR="00FE1536" w:rsidRPr="008A1BF3" w:rsidRDefault="00FE1536" w:rsidP="00986499">
      <w:pPr>
        <w:spacing w:line="360" w:lineRule="auto"/>
        <w:ind w:firstLineChars="200" w:firstLine="420"/>
        <w:rPr>
          <w:rFonts w:cstheme="minorHAnsi"/>
          <w:szCs w:val="21"/>
        </w:rPr>
      </w:pPr>
      <w:r w:rsidRPr="008A1BF3">
        <w:rPr>
          <w:rFonts w:cstheme="minorHAnsi"/>
          <w:szCs w:val="21"/>
        </w:rPr>
        <w:t>当</w:t>
      </w:r>
      <w:r w:rsidRPr="008A1BF3">
        <w:rPr>
          <w:rFonts w:cstheme="minorHAnsi"/>
          <w:szCs w:val="21"/>
        </w:rPr>
        <w:t>TMT</w:t>
      </w:r>
      <w:r w:rsidRPr="008A1BF3">
        <w:rPr>
          <w:rFonts w:cstheme="minorHAnsi"/>
          <w:szCs w:val="21"/>
        </w:rPr>
        <w:t>中证</w:t>
      </w:r>
      <w:r w:rsidRPr="008A1BF3">
        <w:rPr>
          <w:rFonts w:cstheme="minorHAnsi"/>
          <w:szCs w:val="21"/>
        </w:rPr>
        <w:t>B</w:t>
      </w:r>
      <w:r w:rsidRPr="008A1BF3">
        <w:rPr>
          <w:rFonts w:cstheme="minorHAnsi"/>
          <w:szCs w:val="21"/>
        </w:rPr>
        <w:t>份额的基金份额净值小于或等于</w:t>
      </w:r>
      <w:r w:rsidRPr="008A1BF3">
        <w:rPr>
          <w:rFonts w:cstheme="minorHAnsi"/>
          <w:szCs w:val="21"/>
        </w:rPr>
        <w:t>0.250</w:t>
      </w:r>
      <w:r w:rsidRPr="008A1BF3">
        <w:rPr>
          <w:rFonts w:cstheme="minorHAnsi"/>
          <w:szCs w:val="21"/>
        </w:rPr>
        <w:t>元时，</w:t>
      </w:r>
      <w:r w:rsidR="00152C5C" w:rsidRPr="008A1BF3">
        <w:rPr>
          <w:rFonts w:cstheme="minorHAnsi"/>
          <w:szCs w:val="21"/>
        </w:rPr>
        <w:t>信诚</w:t>
      </w:r>
      <w:r w:rsidR="00152C5C" w:rsidRPr="008A1BF3">
        <w:rPr>
          <w:rFonts w:cstheme="minorHAnsi"/>
          <w:szCs w:val="21"/>
        </w:rPr>
        <w:t>TMT</w:t>
      </w:r>
      <w:r w:rsidR="00152C5C" w:rsidRPr="008A1BF3">
        <w:rPr>
          <w:rFonts w:cstheme="minorHAnsi"/>
          <w:szCs w:val="21"/>
        </w:rPr>
        <w:t>份额、</w:t>
      </w:r>
      <w:r w:rsidR="00152C5C" w:rsidRPr="008A1BF3">
        <w:rPr>
          <w:rFonts w:cstheme="minorHAnsi"/>
          <w:szCs w:val="21"/>
        </w:rPr>
        <w:t>TMT</w:t>
      </w:r>
      <w:r w:rsidR="00152C5C" w:rsidRPr="008A1BF3">
        <w:rPr>
          <w:rFonts w:cstheme="minorHAnsi"/>
          <w:szCs w:val="21"/>
        </w:rPr>
        <w:t>中证</w:t>
      </w:r>
      <w:r w:rsidR="00152C5C" w:rsidRPr="008A1BF3">
        <w:rPr>
          <w:rFonts w:cstheme="minorHAnsi"/>
          <w:szCs w:val="21"/>
        </w:rPr>
        <w:t>A</w:t>
      </w:r>
      <w:r w:rsidR="00152C5C" w:rsidRPr="008A1BF3">
        <w:rPr>
          <w:rFonts w:cstheme="minorHAnsi"/>
          <w:szCs w:val="21"/>
        </w:rPr>
        <w:t>份额和</w:t>
      </w:r>
      <w:r w:rsidR="00152C5C" w:rsidRPr="008A1BF3">
        <w:rPr>
          <w:rFonts w:cstheme="minorHAnsi"/>
          <w:szCs w:val="21"/>
        </w:rPr>
        <w:t>TMT</w:t>
      </w:r>
      <w:r w:rsidR="00152C5C" w:rsidRPr="008A1BF3">
        <w:rPr>
          <w:rFonts w:cstheme="minorHAnsi"/>
          <w:szCs w:val="21"/>
        </w:rPr>
        <w:t>中证</w:t>
      </w:r>
      <w:r w:rsidR="00152C5C" w:rsidRPr="008A1BF3">
        <w:rPr>
          <w:rFonts w:cstheme="minorHAnsi"/>
          <w:szCs w:val="21"/>
        </w:rPr>
        <w:t>B</w:t>
      </w:r>
      <w:r w:rsidR="00152C5C" w:rsidRPr="008A1BF3">
        <w:rPr>
          <w:rFonts w:cstheme="minorHAnsi"/>
          <w:szCs w:val="21"/>
        </w:rPr>
        <w:t>份额</w:t>
      </w:r>
      <w:r w:rsidRPr="008A1BF3">
        <w:rPr>
          <w:rFonts w:cstheme="minorHAnsi"/>
          <w:szCs w:val="21"/>
        </w:rPr>
        <w:t>将按照如下公式进行份额折算：</w:t>
      </w:r>
    </w:p>
    <w:p w:rsidR="006C4FB8" w:rsidRPr="008A1BF3" w:rsidRDefault="006C4FB8" w:rsidP="00986499">
      <w:pPr>
        <w:spacing w:line="360" w:lineRule="auto"/>
        <w:ind w:firstLineChars="200" w:firstLine="420"/>
        <w:rPr>
          <w:rFonts w:cstheme="minorHAnsi"/>
          <w:szCs w:val="21"/>
        </w:rPr>
      </w:pPr>
      <w:r w:rsidRPr="008A1BF3">
        <w:rPr>
          <w:rFonts w:cstheme="minorHAnsi"/>
          <w:szCs w:val="21"/>
        </w:rPr>
        <w:lastRenderedPageBreak/>
        <w:t>1</w:t>
      </w:r>
      <w:r w:rsidRPr="008A1BF3">
        <w:rPr>
          <w:rFonts w:cstheme="minorHAnsi"/>
          <w:szCs w:val="21"/>
        </w:rPr>
        <w:t>）信诚</w:t>
      </w:r>
      <w:r w:rsidRPr="008A1BF3">
        <w:rPr>
          <w:rFonts w:cstheme="minorHAnsi"/>
          <w:szCs w:val="21"/>
        </w:rPr>
        <w:t>TMT</w:t>
      </w:r>
      <w:r w:rsidRPr="008A1BF3">
        <w:rPr>
          <w:rFonts w:cstheme="minorHAnsi"/>
          <w:szCs w:val="21"/>
        </w:rPr>
        <w:t>份额折算</w:t>
      </w:r>
    </w:p>
    <w:p w:rsidR="006C4FB8" w:rsidRPr="008A1BF3" w:rsidRDefault="006C4FB8" w:rsidP="00986499">
      <w:pPr>
        <w:spacing w:line="360" w:lineRule="auto"/>
        <w:ind w:firstLineChars="200" w:firstLine="420"/>
        <w:rPr>
          <w:rFonts w:cstheme="minorHAnsi"/>
          <w:szCs w:val="21"/>
        </w:rPr>
      </w:pPr>
      <w:r w:rsidRPr="008A1BF3">
        <w:rPr>
          <w:rFonts w:cstheme="minorHAnsi"/>
          <w:szCs w:val="21"/>
        </w:rPr>
        <w:t>NUM</w:t>
      </w:r>
      <w:r w:rsidRPr="008A1BF3">
        <w:rPr>
          <w:rFonts w:cstheme="minorHAnsi"/>
          <w:szCs w:val="21"/>
          <w:vertAlign w:val="superscript"/>
        </w:rPr>
        <w:t>后</w:t>
      </w:r>
      <w:r w:rsidRPr="008A1BF3">
        <w:rPr>
          <w:rFonts w:cstheme="minorHAnsi"/>
          <w:szCs w:val="21"/>
          <w:vertAlign w:val="subscript"/>
        </w:rPr>
        <w:t>母</w:t>
      </w:r>
      <w:r w:rsidRPr="008A1BF3">
        <w:rPr>
          <w:rFonts w:cstheme="minorHAnsi"/>
          <w:szCs w:val="21"/>
        </w:rPr>
        <w:t>＝（</w:t>
      </w:r>
      <w:r w:rsidRPr="008A1BF3">
        <w:rPr>
          <w:rFonts w:cstheme="minorHAnsi"/>
          <w:szCs w:val="21"/>
        </w:rPr>
        <w:t>NUM</w:t>
      </w:r>
      <w:r w:rsidRPr="008A1BF3">
        <w:rPr>
          <w:rFonts w:cstheme="minorHAnsi"/>
          <w:szCs w:val="21"/>
          <w:vertAlign w:val="superscript"/>
        </w:rPr>
        <w:t>前</w:t>
      </w:r>
      <w:r w:rsidRPr="008A1BF3">
        <w:rPr>
          <w:rFonts w:cstheme="minorHAnsi"/>
          <w:szCs w:val="21"/>
          <w:vertAlign w:val="subscript"/>
        </w:rPr>
        <w:t>母</w:t>
      </w:r>
      <w:r w:rsidRPr="008A1BF3">
        <w:rPr>
          <w:rFonts w:cstheme="minorHAnsi"/>
          <w:szCs w:val="21"/>
        </w:rPr>
        <w:t>×NAV</w:t>
      </w:r>
      <w:r w:rsidRPr="008A1BF3">
        <w:rPr>
          <w:rFonts w:cstheme="minorHAnsi"/>
          <w:szCs w:val="21"/>
          <w:vertAlign w:val="superscript"/>
        </w:rPr>
        <w:t>前</w:t>
      </w:r>
      <w:r w:rsidRPr="008A1BF3">
        <w:rPr>
          <w:rFonts w:cstheme="minorHAnsi"/>
          <w:szCs w:val="21"/>
          <w:vertAlign w:val="subscript"/>
        </w:rPr>
        <w:t>母</w:t>
      </w:r>
      <w:r w:rsidRPr="008A1BF3">
        <w:rPr>
          <w:rFonts w:cstheme="minorHAnsi"/>
          <w:szCs w:val="21"/>
        </w:rPr>
        <w:t>）／</w:t>
      </w:r>
      <w:r w:rsidRPr="008A1BF3">
        <w:rPr>
          <w:rFonts w:cstheme="minorHAnsi"/>
          <w:szCs w:val="21"/>
        </w:rPr>
        <w:t>1.000</w:t>
      </w:r>
    </w:p>
    <w:p w:rsidR="006C4FB8" w:rsidRPr="008A1BF3" w:rsidRDefault="006C4FB8" w:rsidP="00986499">
      <w:pPr>
        <w:spacing w:line="360" w:lineRule="auto"/>
        <w:ind w:firstLineChars="200" w:firstLine="420"/>
        <w:rPr>
          <w:rFonts w:cstheme="minorHAnsi"/>
          <w:szCs w:val="21"/>
        </w:rPr>
      </w:pPr>
      <w:r w:rsidRPr="008A1BF3">
        <w:rPr>
          <w:rFonts w:cstheme="minorHAnsi"/>
          <w:szCs w:val="21"/>
        </w:rPr>
        <w:t>信诚</w:t>
      </w:r>
      <w:r w:rsidRPr="008A1BF3">
        <w:rPr>
          <w:rFonts w:cstheme="minorHAnsi"/>
          <w:szCs w:val="21"/>
        </w:rPr>
        <w:t>TMT</w:t>
      </w:r>
      <w:r w:rsidRPr="008A1BF3">
        <w:rPr>
          <w:rFonts w:cstheme="minorHAnsi"/>
          <w:szCs w:val="21"/>
        </w:rPr>
        <w:t>份额的场外份额经折算后的份额数采用四舍五入的方式保留到小数点后两位，由此产生的误差计入基金资产；信诚</w:t>
      </w:r>
      <w:r w:rsidRPr="008A1BF3">
        <w:rPr>
          <w:rFonts w:cstheme="minorHAnsi"/>
          <w:szCs w:val="21"/>
        </w:rPr>
        <w:t>TMT</w:t>
      </w:r>
      <w:r w:rsidRPr="008A1BF3">
        <w:rPr>
          <w:rFonts w:cstheme="minorHAnsi"/>
          <w:szCs w:val="21"/>
        </w:rPr>
        <w:t>份额的场内份额经折算后的份额数取整计算（最小单位为</w:t>
      </w:r>
      <w:r w:rsidRPr="008A1BF3">
        <w:rPr>
          <w:rFonts w:cstheme="minorHAnsi"/>
          <w:szCs w:val="21"/>
        </w:rPr>
        <w:t>1</w:t>
      </w:r>
      <w:r w:rsidRPr="008A1BF3">
        <w:rPr>
          <w:rFonts w:cstheme="minorHAnsi"/>
          <w:szCs w:val="21"/>
        </w:rPr>
        <w:t>份），余额计入基金资产。</w:t>
      </w:r>
    </w:p>
    <w:p w:rsidR="006C4FB8" w:rsidRPr="008A1BF3" w:rsidRDefault="006C4FB8" w:rsidP="00986499">
      <w:pPr>
        <w:spacing w:line="360" w:lineRule="auto"/>
        <w:ind w:firstLineChars="200" w:firstLine="420"/>
        <w:rPr>
          <w:rFonts w:cstheme="minorHAnsi"/>
          <w:szCs w:val="21"/>
        </w:rPr>
      </w:pPr>
      <w:r w:rsidRPr="008A1BF3">
        <w:rPr>
          <w:rFonts w:cstheme="minorHAnsi"/>
          <w:szCs w:val="21"/>
        </w:rPr>
        <w:t>2</w:t>
      </w:r>
      <w:r w:rsidRPr="008A1BF3">
        <w:rPr>
          <w:rFonts w:cstheme="minorHAnsi"/>
          <w:szCs w:val="21"/>
        </w:rPr>
        <w:t>）</w:t>
      </w:r>
      <w:r w:rsidR="0091717A" w:rsidRPr="008A1BF3">
        <w:rPr>
          <w:rFonts w:cstheme="minorHAnsi"/>
          <w:szCs w:val="21"/>
        </w:rPr>
        <w:t>TMT</w:t>
      </w:r>
      <w:r w:rsidR="0091717A" w:rsidRPr="008A1BF3">
        <w:rPr>
          <w:rFonts w:cstheme="minorHAnsi"/>
          <w:szCs w:val="21"/>
        </w:rPr>
        <w:t>中证</w:t>
      </w:r>
      <w:r w:rsidR="0091717A" w:rsidRPr="008A1BF3">
        <w:rPr>
          <w:rFonts w:cstheme="minorHAnsi"/>
          <w:szCs w:val="21"/>
        </w:rPr>
        <w:t>A</w:t>
      </w:r>
      <w:r w:rsidRPr="008A1BF3">
        <w:rPr>
          <w:rFonts w:cstheme="minorHAnsi"/>
          <w:szCs w:val="21"/>
        </w:rPr>
        <w:t>份额折算</w:t>
      </w:r>
    </w:p>
    <w:p w:rsidR="006C4FB8" w:rsidRPr="008A1BF3" w:rsidRDefault="006C4FB8" w:rsidP="00986499">
      <w:pPr>
        <w:spacing w:line="360" w:lineRule="auto"/>
        <w:ind w:firstLineChars="200" w:firstLine="420"/>
        <w:rPr>
          <w:rFonts w:cstheme="minorHAnsi"/>
          <w:szCs w:val="21"/>
        </w:rPr>
      </w:pPr>
      <w:r w:rsidRPr="008A1BF3">
        <w:rPr>
          <w:rFonts w:cstheme="minorHAnsi"/>
          <w:szCs w:val="21"/>
        </w:rPr>
        <w:t>折算后</w:t>
      </w:r>
      <w:r w:rsidR="0091717A" w:rsidRPr="008A1BF3">
        <w:rPr>
          <w:rFonts w:cstheme="minorHAnsi"/>
          <w:szCs w:val="21"/>
        </w:rPr>
        <w:t>TMT</w:t>
      </w:r>
      <w:r w:rsidR="0091717A" w:rsidRPr="008A1BF3">
        <w:rPr>
          <w:rFonts w:cstheme="minorHAnsi"/>
          <w:szCs w:val="21"/>
        </w:rPr>
        <w:t>中证</w:t>
      </w:r>
      <w:r w:rsidR="0091717A" w:rsidRPr="008A1BF3">
        <w:rPr>
          <w:rFonts w:cstheme="minorHAnsi"/>
          <w:szCs w:val="21"/>
        </w:rPr>
        <w:t>A</w:t>
      </w:r>
      <w:r w:rsidRPr="008A1BF3">
        <w:rPr>
          <w:rFonts w:cstheme="minorHAnsi"/>
          <w:szCs w:val="21"/>
        </w:rPr>
        <w:t>份额和</w:t>
      </w:r>
      <w:r w:rsidR="0091717A" w:rsidRPr="008A1BF3">
        <w:rPr>
          <w:rFonts w:cstheme="minorHAnsi"/>
          <w:szCs w:val="21"/>
        </w:rPr>
        <w:t>TMT</w:t>
      </w:r>
      <w:r w:rsidR="0091717A" w:rsidRPr="008A1BF3">
        <w:rPr>
          <w:rFonts w:cstheme="minorHAnsi"/>
          <w:szCs w:val="21"/>
        </w:rPr>
        <w:t>中证</w:t>
      </w:r>
      <w:r w:rsidR="0091717A" w:rsidRPr="008A1BF3">
        <w:rPr>
          <w:rFonts w:cstheme="minorHAnsi"/>
          <w:szCs w:val="21"/>
        </w:rPr>
        <w:t>B</w:t>
      </w:r>
      <w:r w:rsidRPr="008A1BF3">
        <w:rPr>
          <w:rFonts w:cstheme="minorHAnsi"/>
          <w:szCs w:val="21"/>
        </w:rPr>
        <w:t>份额的份额配比保持</w:t>
      </w:r>
      <w:r w:rsidRPr="008A1BF3">
        <w:rPr>
          <w:rFonts w:cstheme="minorHAnsi"/>
          <w:szCs w:val="21"/>
        </w:rPr>
        <w:t>1</w:t>
      </w:r>
      <w:r w:rsidRPr="008A1BF3">
        <w:rPr>
          <w:rFonts w:cstheme="minorHAnsi"/>
          <w:szCs w:val="21"/>
        </w:rPr>
        <w:t>：</w:t>
      </w:r>
      <w:r w:rsidRPr="008A1BF3">
        <w:rPr>
          <w:rFonts w:cstheme="minorHAnsi"/>
          <w:szCs w:val="21"/>
        </w:rPr>
        <w:t>1</w:t>
      </w:r>
      <w:r w:rsidRPr="008A1BF3">
        <w:rPr>
          <w:rFonts w:cstheme="minorHAnsi"/>
          <w:szCs w:val="21"/>
        </w:rPr>
        <w:t>不变</w:t>
      </w:r>
    </w:p>
    <w:p w:rsidR="006C4FB8" w:rsidRPr="008A1BF3" w:rsidRDefault="0091717A" w:rsidP="00986499">
      <w:pPr>
        <w:spacing w:line="360" w:lineRule="auto"/>
        <w:ind w:firstLineChars="200" w:firstLine="420"/>
        <w:rPr>
          <w:rFonts w:cstheme="minorHAnsi"/>
          <w:szCs w:val="21"/>
        </w:rPr>
      </w:pPr>
      <w:r w:rsidRPr="008A1BF3">
        <w:rPr>
          <w:rFonts w:cstheme="minorHAnsi"/>
          <w:szCs w:val="21"/>
        </w:rPr>
        <w:t>TMT</w:t>
      </w:r>
      <w:r w:rsidRPr="008A1BF3">
        <w:rPr>
          <w:rFonts w:cstheme="minorHAnsi"/>
          <w:szCs w:val="21"/>
        </w:rPr>
        <w:t>中证</w:t>
      </w:r>
      <w:r w:rsidRPr="008A1BF3">
        <w:rPr>
          <w:rFonts w:cstheme="minorHAnsi"/>
          <w:szCs w:val="21"/>
        </w:rPr>
        <w:t>A</w:t>
      </w:r>
      <w:r w:rsidR="006C4FB8" w:rsidRPr="008A1BF3">
        <w:rPr>
          <w:rFonts w:cstheme="minorHAnsi"/>
          <w:szCs w:val="21"/>
        </w:rPr>
        <w:t>份额持有人新增的信诚</w:t>
      </w:r>
      <w:r w:rsidR="006C4FB8" w:rsidRPr="008A1BF3">
        <w:rPr>
          <w:rFonts w:cstheme="minorHAnsi"/>
          <w:szCs w:val="21"/>
        </w:rPr>
        <w:t>TMT</w:t>
      </w:r>
      <w:r w:rsidR="006C4FB8" w:rsidRPr="008A1BF3">
        <w:rPr>
          <w:rFonts w:cstheme="minorHAnsi"/>
          <w:szCs w:val="21"/>
        </w:rPr>
        <w:t>份额数＝（</w:t>
      </w:r>
      <w:r w:rsidR="006C4FB8" w:rsidRPr="008A1BF3">
        <w:rPr>
          <w:rFonts w:cstheme="minorHAnsi"/>
          <w:szCs w:val="21"/>
        </w:rPr>
        <w:t>NUM</w:t>
      </w:r>
      <w:r w:rsidR="006C4FB8" w:rsidRPr="008A1BF3">
        <w:rPr>
          <w:rFonts w:cstheme="minorHAnsi"/>
          <w:szCs w:val="21"/>
          <w:vertAlign w:val="superscript"/>
        </w:rPr>
        <w:t>前</w:t>
      </w:r>
      <w:r w:rsidR="006C4FB8" w:rsidRPr="008A1BF3">
        <w:rPr>
          <w:rFonts w:cstheme="minorHAnsi"/>
          <w:szCs w:val="21"/>
          <w:vertAlign w:val="subscript"/>
        </w:rPr>
        <w:t>A</w:t>
      </w:r>
      <w:r w:rsidR="006C4FB8" w:rsidRPr="008A1BF3">
        <w:rPr>
          <w:rFonts w:cstheme="minorHAnsi"/>
          <w:szCs w:val="21"/>
        </w:rPr>
        <w:t>×NAV</w:t>
      </w:r>
      <w:r w:rsidR="006C4FB8" w:rsidRPr="008A1BF3">
        <w:rPr>
          <w:rFonts w:cstheme="minorHAnsi"/>
          <w:szCs w:val="21"/>
          <w:vertAlign w:val="superscript"/>
        </w:rPr>
        <w:t>前</w:t>
      </w:r>
      <w:r w:rsidR="006C4FB8" w:rsidRPr="008A1BF3">
        <w:rPr>
          <w:rFonts w:cstheme="minorHAnsi"/>
          <w:szCs w:val="21"/>
          <w:vertAlign w:val="subscript"/>
        </w:rPr>
        <w:t>A</w:t>
      </w:r>
      <w:r w:rsidR="006C4FB8" w:rsidRPr="008A1BF3">
        <w:rPr>
          <w:rFonts w:cstheme="minorHAnsi"/>
          <w:szCs w:val="21"/>
        </w:rPr>
        <w:t>- NUM</w:t>
      </w:r>
      <w:r w:rsidR="006C4FB8" w:rsidRPr="008A1BF3">
        <w:rPr>
          <w:rFonts w:cstheme="minorHAnsi"/>
          <w:szCs w:val="21"/>
          <w:vertAlign w:val="superscript"/>
        </w:rPr>
        <w:t>后</w:t>
      </w:r>
      <w:r w:rsidR="006C4FB8" w:rsidRPr="008A1BF3">
        <w:rPr>
          <w:rFonts w:cstheme="minorHAnsi"/>
          <w:szCs w:val="21"/>
          <w:vertAlign w:val="subscript"/>
        </w:rPr>
        <w:t>A</w:t>
      </w:r>
      <w:r w:rsidR="006C4FB8" w:rsidRPr="008A1BF3">
        <w:rPr>
          <w:rFonts w:cstheme="minorHAnsi"/>
          <w:szCs w:val="21"/>
        </w:rPr>
        <w:t>×1.000</w:t>
      </w:r>
      <w:r w:rsidR="006C4FB8" w:rsidRPr="008A1BF3">
        <w:rPr>
          <w:rFonts w:cstheme="minorHAnsi"/>
          <w:szCs w:val="21"/>
        </w:rPr>
        <w:t>）／</w:t>
      </w:r>
      <w:r w:rsidR="006C4FB8" w:rsidRPr="008A1BF3">
        <w:rPr>
          <w:rFonts w:cstheme="minorHAnsi"/>
          <w:szCs w:val="21"/>
        </w:rPr>
        <w:t>1.000</w:t>
      </w:r>
    </w:p>
    <w:p w:rsidR="006C4FB8" w:rsidRPr="008A1BF3" w:rsidRDefault="0091717A" w:rsidP="00986499">
      <w:pPr>
        <w:spacing w:line="360" w:lineRule="auto"/>
        <w:ind w:firstLineChars="200" w:firstLine="420"/>
        <w:rPr>
          <w:rFonts w:cstheme="minorHAnsi"/>
          <w:szCs w:val="21"/>
        </w:rPr>
      </w:pPr>
      <w:r w:rsidRPr="008A1BF3">
        <w:rPr>
          <w:rFonts w:cstheme="minorHAnsi"/>
          <w:szCs w:val="21"/>
        </w:rPr>
        <w:t>TMT</w:t>
      </w:r>
      <w:r w:rsidRPr="008A1BF3">
        <w:rPr>
          <w:rFonts w:cstheme="minorHAnsi"/>
          <w:szCs w:val="21"/>
        </w:rPr>
        <w:t>中证</w:t>
      </w:r>
      <w:r w:rsidRPr="008A1BF3">
        <w:rPr>
          <w:rFonts w:cstheme="minorHAnsi"/>
          <w:szCs w:val="21"/>
        </w:rPr>
        <w:t>A</w:t>
      </w:r>
      <w:r w:rsidR="006C4FB8" w:rsidRPr="008A1BF3">
        <w:rPr>
          <w:rFonts w:cstheme="minorHAnsi"/>
          <w:szCs w:val="21"/>
        </w:rPr>
        <w:t>份额经折算后的份额数取整计算（最小单位为</w:t>
      </w:r>
      <w:r w:rsidR="006C4FB8" w:rsidRPr="008A1BF3">
        <w:rPr>
          <w:rFonts w:cstheme="minorHAnsi"/>
          <w:szCs w:val="21"/>
        </w:rPr>
        <w:t>1</w:t>
      </w:r>
      <w:r w:rsidR="006C4FB8" w:rsidRPr="008A1BF3">
        <w:rPr>
          <w:rFonts w:cstheme="minorHAnsi"/>
          <w:szCs w:val="21"/>
        </w:rPr>
        <w:t>份），余额计入基金资产。</w:t>
      </w:r>
      <w:r w:rsidR="00492855" w:rsidRPr="008A1BF3">
        <w:rPr>
          <w:rFonts w:cstheme="minorHAnsi"/>
          <w:szCs w:val="21"/>
        </w:rPr>
        <w:t>TMT</w:t>
      </w:r>
      <w:r w:rsidR="00492855" w:rsidRPr="008A1BF3">
        <w:rPr>
          <w:rFonts w:cstheme="minorHAnsi"/>
          <w:szCs w:val="21"/>
        </w:rPr>
        <w:t>中证</w:t>
      </w:r>
      <w:r w:rsidR="00492855" w:rsidRPr="008A1BF3">
        <w:rPr>
          <w:rFonts w:cstheme="minorHAnsi"/>
          <w:szCs w:val="21"/>
        </w:rPr>
        <w:t>A</w:t>
      </w:r>
      <w:r w:rsidR="006C4FB8" w:rsidRPr="008A1BF3">
        <w:rPr>
          <w:rFonts w:cstheme="minorHAnsi"/>
          <w:szCs w:val="21"/>
        </w:rPr>
        <w:t>份额折算成信诚</w:t>
      </w:r>
      <w:r w:rsidR="006C4FB8" w:rsidRPr="008A1BF3">
        <w:rPr>
          <w:rFonts w:cstheme="minorHAnsi"/>
          <w:szCs w:val="21"/>
        </w:rPr>
        <w:t>TMT</w:t>
      </w:r>
      <w:r w:rsidR="006C4FB8" w:rsidRPr="008A1BF3">
        <w:rPr>
          <w:rFonts w:cstheme="minorHAnsi"/>
          <w:szCs w:val="21"/>
        </w:rPr>
        <w:t>份额的场内份额取整计算（最小单位为</w:t>
      </w:r>
      <w:r w:rsidR="006C4FB8" w:rsidRPr="008A1BF3">
        <w:rPr>
          <w:rFonts w:cstheme="minorHAnsi"/>
          <w:szCs w:val="21"/>
        </w:rPr>
        <w:t>1</w:t>
      </w:r>
      <w:r w:rsidR="006C4FB8" w:rsidRPr="008A1BF3">
        <w:rPr>
          <w:rFonts w:cstheme="minorHAnsi"/>
          <w:szCs w:val="21"/>
        </w:rPr>
        <w:t>份），余额计入基金资产。</w:t>
      </w:r>
    </w:p>
    <w:p w:rsidR="006C4FB8" w:rsidRPr="008A1BF3" w:rsidRDefault="006C4FB8" w:rsidP="00986499">
      <w:pPr>
        <w:spacing w:line="360" w:lineRule="auto"/>
        <w:ind w:firstLineChars="200" w:firstLine="420"/>
        <w:rPr>
          <w:rFonts w:cstheme="minorHAnsi"/>
          <w:szCs w:val="21"/>
        </w:rPr>
      </w:pPr>
      <w:r w:rsidRPr="008A1BF3">
        <w:rPr>
          <w:rFonts w:cstheme="minorHAnsi"/>
          <w:szCs w:val="21"/>
        </w:rPr>
        <w:t>3</w:t>
      </w:r>
      <w:r w:rsidRPr="008A1BF3">
        <w:rPr>
          <w:rFonts w:cstheme="minorHAnsi"/>
          <w:szCs w:val="21"/>
        </w:rPr>
        <w:t>）</w:t>
      </w:r>
      <w:r w:rsidR="00987C0D" w:rsidRPr="008A1BF3">
        <w:rPr>
          <w:rFonts w:cstheme="minorHAnsi"/>
          <w:szCs w:val="21"/>
        </w:rPr>
        <w:t>TMT</w:t>
      </w:r>
      <w:r w:rsidR="00987C0D" w:rsidRPr="008A1BF3">
        <w:rPr>
          <w:rFonts w:cstheme="minorHAnsi"/>
          <w:szCs w:val="21"/>
        </w:rPr>
        <w:t>中证</w:t>
      </w:r>
      <w:r w:rsidR="00987C0D" w:rsidRPr="008A1BF3">
        <w:rPr>
          <w:rFonts w:cstheme="minorHAnsi"/>
          <w:szCs w:val="21"/>
        </w:rPr>
        <w:t>B</w:t>
      </w:r>
      <w:r w:rsidRPr="008A1BF3">
        <w:rPr>
          <w:rFonts w:cstheme="minorHAnsi"/>
          <w:szCs w:val="21"/>
        </w:rPr>
        <w:t>份额折算</w:t>
      </w:r>
    </w:p>
    <w:p w:rsidR="006C4FB8" w:rsidRPr="008A1BF3" w:rsidRDefault="006C4FB8" w:rsidP="00986499">
      <w:pPr>
        <w:spacing w:line="360" w:lineRule="auto"/>
        <w:ind w:firstLineChars="200" w:firstLine="420"/>
        <w:rPr>
          <w:rFonts w:cstheme="minorHAnsi"/>
          <w:szCs w:val="21"/>
        </w:rPr>
      </w:pPr>
      <w:r w:rsidRPr="008A1BF3">
        <w:rPr>
          <w:rFonts w:cstheme="minorHAnsi"/>
          <w:szCs w:val="21"/>
        </w:rPr>
        <w:t>NUM</w:t>
      </w:r>
      <w:r w:rsidRPr="008A1BF3">
        <w:rPr>
          <w:rFonts w:cstheme="minorHAnsi"/>
          <w:szCs w:val="21"/>
          <w:vertAlign w:val="superscript"/>
        </w:rPr>
        <w:t>后</w:t>
      </w:r>
      <w:r w:rsidRPr="008A1BF3">
        <w:rPr>
          <w:rFonts w:cstheme="minorHAnsi"/>
          <w:szCs w:val="21"/>
          <w:vertAlign w:val="subscript"/>
        </w:rPr>
        <w:t>B</w:t>
      </w:r>
      <w:r w:rsidRPr="008A1BF3">
        <w:rPr>
          <w:rFonts w:cstheme="minorHAnsi"/>
          <w:szCs w:val="21"/>
        </w:rPr>
        <w:t>＝（</w:t>
      </w:r>
      <w:r w:rsidRPr="008A1BF3">
        <w:rPr>
          <w:rFonts w:cstheme="minorHAnsi"/>
          <w:szCs w:val="21"/>
        </w:rPr>
        <w:t>NUM</w:t>
      </w:r>
      <w:r w:rsidRPr="008A1BF3">
        <w:rPr>
          <w:rFonts w:cstheme="minorHAnsi"/>
          <w:szCs w:val="21"/>
          <w:vertAlign w:val="superscript"/>
        </w:rPr>
        <w:t>前</w:t>
      </w:r>
      <w:r w:rsidRPr="008A1BF3">
        <w:rPr>
          <w:rFonts w:cstheme="minorHAnsi"/>
          <w:szCs w:val="21"/>
          <w:vertAlign w:val="subscript"/>
        </w:rPr>
        <w:t>B</w:t>
      </w:r>
      <w:r w:rsidRPr="008A1BF3">
        <w:rPr>
          <w:rFonts w:cstheme="minorHAnsi"/>
          <w:szCs w:val="21"/>
        </w:rPr>
        <w:t>×NAV</w:t>
      </w:r>
      <w:r w:rsidRPr="008A1BF3">
        <w:rPr>
          <w:rFonts w:cstheme="minorHAnsi"/>
          <w:szCs w:val="21"/>
          <w:vertAlign w:val="superscript"/>
        </w:rPr>
        <w:t>前</w:t>
      </w:r>
      <w:r w:rsidRPr="008A1BF3">
        <w:rPr>
          <w:rFonts w:cstheme="minorHAnsi"/>
          <w:szCs w:val="21"/>
          <w:vertAlign w:val="subscript"/>
        </w:rPr>
        <w:t>B</w:t>
      </w:r>
      <w:r w:rsidRPr="008A1BF3">
        <w:rPr>
          <w:rFonts w:cstheme="minorHAnsi"/>
          <w:szCs w:val="21"/>
        </w:rPr>
        <w:t>）／</w:t>
      </w:r>
      <w:r w:rsidRPr="008A1BF3">
        <w:rPr>
          <w:rFonts w:cstheme="minorHAnsi"/>
          <w:szCs w:val="21"/>
        </w:rPr>
        <w:t>1.000</w:t>
      </w:r>
    </w:p>
    <w:p w:rsidR="006C4FB8" w:rsidRPr="008A1BF3" w:rsidRDefault="00987C0D" w:rsidP="00986499">
      <w:pPr>
        <w:spacing w:line="360" w:lineRule="auto"/>
        <w:ind w:firstLineChars="200" w:firstLine="420"/>
        <w:rPr>
          <w:rFonts w:cstheme="minorHAnsi"/>
          <w:szCs w:val="21"/>
        </w:rPr>
      </w:pPr>
      <w:r w:rsidRPr="008A1BF3">
        <w:rPr>
          <w:rFonts w:cstheme="minorHAnsi"/>
          <w:szCs w:val="21"/>
        </w:rPr>
        <w:t>TMT</w:t>
      </w:r>
      <w:r w:rsidRPr="008A1BF3">
        <w:rPr>
          <w:rFonts w:cstheme="minorHAnsi"/>
          <w:szCs w:val="21"/>
        </w:rPr>
        <w:t>中证</w:t>
      </w:r>
      <w:r w:rsidRPr="008A1BF3">
        <w:rPr>
          <w:rFonts w:cstheme="minorHAnsi"/>
          <w:szCs w:val="21"/>
        </w:rPr>
        <w:t>B</w:t>
      </w:r>
      <w:r w:rsidR="006C4FB8" w:rsidRPr="008A1BF3">
        <w:rPr>
          <w:rFonts w:cstheme="minorHAnsi"/>
          <w:szCs w:val="21"/>
        </w:rPr>
        <w:t>份额经折算后的份额数取整计算（最小单位为</w:t>
      </w:r>
      <w:r w:rsidR="006C4FB8" w:rsidRPr="008A1BF3">
        <w:rPr>
          <w:rFonts w:cstheme="minorHAnsi"/>
          <w:szCs w:val="21"/>
        </w:rPr>
        <w:t>1</w:t>
      </w:r>
      <w:r w:rsidR="006C4FB8" w:rsidRPr="008A1BF3">
        <w:rPr>
          <w:rFonts w:cstheme="minorHAnsi"/>
          <w:szCs w:val="21"/>
        </w:rPr>
        <w:t>份），余额计入基金资产。</w:t>
      </w:r>
    </w:p>
    <w:p w:rsidR="006C4FB8" w:rsidRPr="008A1BF3" w:rsidRDefault="006C4FB8" w:rsidP="00986499">
      <w:pPr>
        <w:spacing w:line="360" w:lineRule="auto"/>
        <w:ind w:firstLineChars="200" w:firstLine="420"/>
        <w:rPr>
          <w:rFonts w:cstheme="minorHAnsi"/>
          <w:szCs w:val="21"/>
        </w:rPr>
      </w:pPr>
      <w:r w:rsidRPr="008A1BF3">
        <w:rPr>
          <w:rFonts w:cstheme="minorHAnsi"/>
          <w:szCs w:val="21"/>
        </w:rPr>
        <w:t>4</w:t>
      </w:r>
      <w:r w:rsidRPr="008A1BF3">
        <w:rPr>
          <w:rFonts w:cstheme="minorHAnsi"/>
          <w:szCs w:val="21"/>
        </w:rPr>
        <w:t>）折算后信诚</w:t>
      </w:r>
      <w:r w:rsidRPr="008A1BF3">
        <w:rPr>
          <w:rFonts w:cstheme="minorHAnsi"/>
          <w:szCs w:val="21"/>
        </w:rPr>
        <w:t>TMT</w:t>
      </w:r>
      <w:r w:rsidRPr="008A1BF3">
        <w:rPr>
          <w:rFonts w:cstheme="minorHAnsi"/>
          <w:szCs w:val="21"/>
        </w:rPr>
        <w:t>份额的总份额数</w:t>
      </w:r>
    </w:p>
    <w:p w:rsidR="006C4FB8" w:rsidRPr="008A1BF3" w:rsidRDefault="006C4FB8" w:rsidP="00986499">
      <w:pPr>
        <w:spacing w:line="360" w:lineRule="auto"/>
        <w:ind w:firstLineChars="200" w:firstLine="420"/>
        <w:rPr>
          <w:rFonts w:cstheme="minorHAnsi"/>
          <w:szCs w:val="21"/>
        </w:rPr>
      </w:pPr>
      <w:r w:rsidRPr="008A1BF3">
        <w:rPr>
          <w:rFonts w:cstheme="minorHAnsi"/>
          <w:szCs w:val="21"/>
        </w:rPr>
        <w:t>折算后信诚</w:t>
      </w:r>
      <w:r w:rsidRPr="008A1BF3">
        <w:rPr>
          <w:rFonts w:cstheme="minorHAnsi"/>
          <w:szCs w:val="21"/>
        </w:rPr>
        <w:t>TMT</w:t>
      </w:r>
      <w:r w:rsidRPr="008A1BF3">
        <w:rPr>
          <w:rFonts w:cstheme="minorHAnsi"/>
          <w:szCs w:val="21"/>
        </w:rPr>
        <w:t>份额的总份额数＝不定期份额折算后信诚</w:t>
      </w:r>
      <w:r w:rsidRPr="008A1BF3">
        <w:rPr>
          <w:rFonts w:cstheme="minorHAnsi"/>
          <w:szCs w:val="21"/>
        </w:rPr>
        <w:t>TMT</w:t>
      </w:r>
      <w:r w:rsidRPr="008A1BF3">
        <w:rPr>
          <w:rFonts w:cstheme="minorHAnsi"/>
          <w:szCs w:val="21"/>
        </w:rPr>
        <w:t>份额的份额数＋</w:t>
      </w:r>
      <w:r w:rsidR="00987C0D" w:rsidRPr="008A1BF3">
        <w:rPr>
          <w:rFonts w:cstheme="minorHAnsi"/>
          <w:szCs w:val="21"/>
        </w:rPr>
        <w:t>TMT</w:t>
      </w:r>
      <w:r w:rsidR="00987C0D" w:rsidRPr="008A1BF3">
        <w:rPr>
          <w:rFonts w:cstheme="minorHAnsi"/>
          <w:szCs w:val="21"/>
        </w:rPr>
        <w:t>中证</w:t>
      </w:r>
      <w:r w:rsidR="00987C0D" w:rsidRPr="008A1BF3">
        <w:rPr>
          <w:rFonts w:cstheme="minorHAnsi"/>
          <w:szCs w:val="21"/>
        </w:rPr>
        <w:t>A</w:t>
      </w:r>
      <w:r w:rsidRPr="008A1BF3">
        <w:rPr>
          <w:rFonts w:cstheme="minorHAnsi"/>
          <w:szCs w:val="21"/>
        </w:rPr>
        <w:t>份额持有人新增的信诚</w:t>
      </w:r>
      <w:r w:rsidRPr="008A1BF3">
        <w:rPr>
          <w:rFonts w:cstheme="minorHAnsi"/>
          <w:szCs w:val="21"/>
        </w:rPr>
        <w:t>TMT</w:t>
      </w:r>
      <w:r w:rsidRPr="008A1BF3">
        <w:rPr>
          <w:rFonts w:cstheme="minorHAnsi"/>
          <w:szCs w:val="21"/>
        </w:rPr>
        <w:t>份额数</w:t>
      </w:r>
    </w:p>
    <w:p w:rsidR="00C34B5A" w:rsidRPr="008A1BF3" w:rsidRDefault="007A2F53" w:rsidP="00986499">
      <w:pPr>
        <w:spacing w:line="360" w:lineRule="auto"/>
        <w:ind w:firstLineChars="200" w:firstLine="420"/>
        <w:rPr>
          <w:rFonts w:cstheme="minorHAnsi"/>
          <w:szCs w:val="21"/>
        </w:rPr>
      </w:pPr>
      <w:r w:rsidRPr="008A1BF3">
        <w:rPr>
          <w:rFonts w:cstheme="minorHAnsi"/>
          <w:szCs w:val="21"/>
        </w:rPr>
        <w:t>（</w:t>
      </w:r>
      <w:r w:rsidRPr="008A1BF3">
        <w:rPr>
          <w:rFonts w:cstheme="minorHAnsi"/>
          <w:szCs w:val="21"/>
        </w:rPr>
        <w:t>5</w:t>
      </w:r>
      <w:r w:rsidRPr="008A1BF3">
        <w:rPr>
          <w:rFonts w:cstheme="minorHAnsi"/>
          <w:szCs w:val="21"/>
        </w:rPr>
        <w:t>）举例</w:t>
      </w:r>
    </w:p>
    <w:p w:rsidR="00813467" w:rsidRPr="008A1BF3" w:rsidRDefault="007A2F53" w:rsidP="00986499">
      <w:pPr>
        <w:spacing w:line="360" w:lineRule="auto"/>
        <w:ind w:firstLineChars="200" w:firstLine="420"/>
        <w:rPr>
          <w:rFonts w:cstheme="minorHAnsi"/>
          <w:szCs w:val="21"/>
        </w:rPr>
      </w:pPr>
      <w:r w:rsidRPr="008A1BF3">
        <w:rPr>
          <w:rFonts w:cstheme="minorHAnsi"/>
          <w:szCs w:val="21"/>
        </w:rPr>
        <w:t>假设：某投资人持有场内信诚</w:t>
      </w:r>
      <w:r w:rsidR="00E41138" w:rsidRPr="008A1BF3">
        <w:rPr>
          <w:rFonts w:cstheme="minorHAnsi"/>
          <w:szCs w:val="21"/>
        </w:rPr>
        <w:t>TMT</w:t>
      </w:r>
      <w:r w:rsidRPr="008A1BF3">
        <w:rPr>
          <w:rFonts w:cstheme="minorHAnsi"/>
          <w:szCs w:val="21"/>
        </w:rPr>
        <w:t>份额、</w:t>
      </w:r>
      <w:r w:rsidR="00E41138" w:rsidRPr="008A1BF3">
        <w:rPr>
          <w:rFonts w:cstheme="minorHAnsi"/>
          <w:szCs w:val="21"/>
        </w:rPr>
        <w:t>TMT</w:t>
      </w:r>
      <w:r w:rsidR="00E41138" w:rsidRPr="008A1BF3">
        <w:rPr>
          <w:rFonts w:cstheme="minorHAnsi"/>
          <w:szCs w:val="21"/>
        </w:rPr>
        <w:t>中证</w:t>
      </w:r>
      <w:r w:rsidR="00E41138" w:rsidRPr="008A1BF3">
        <w:rPr>
          <w:rFonts w:cstheme="minorHAnsi"/>
          <w:szCs w:val="21"/>
        </w:rPr>
        <w:t>A</w:t>
      </w:r>
      <w:r w:rsidRPr="008A1BF3">
        <w:rPr>
          <w:rFonts w:cstheme="minorHAnsi"/>
          <w:szCs w:val="21"/>
        </w:rPr>
        <w:t>份额和</w:t>
      </w:r>
      <w:r w:rsidR="00E41138" w:rsidRPr="008A1BF3">
        <w:rPr>
          <w:rFonts w:cstheme="minorHAnsi"/>
          <w:szCs w:val="21"/>
        </w:rPr>
        <w:t>TMT</w:t>
      </w:r>
      <w:r w:rsidR="00E41138" w:rsidRPr="008A1BF3">
        <w:rPr>
          <w:rFonts w:cstheme="minorHAnsi"/>
          <w:szCs w:val="21"/>
        </w:rPr>
        <w:t>中证</w:t>
      </w:r>
      <w:r w:rsidR="00E41138" w:rsidRPr="008A1BF3">
        <w:rPr>
          <w:rFonts w:cstheme="minorHAnsi"/>
          <w:szCs w:val="21"/>
        </w:rPr>
        <w:t>B</w:t>
      </w:r>
      <w:r w:rsidRPr="008A1BF3">
        <w:rPr>
          <w:rFonts w:cstheme="minorHAnsi"/>
          <w:szCs w:val="21"/>
        </w:rPr>
        <w:t>份额分别为</w:t>
      </w:r>
      <w:r w:rsidR="00385448" w:rsidRPr="008A1BF3">
        <w:rPr>
          <w:rFonts w:cstheme="minorHAnsi"/>
          <w:szCs w:val="21"/>
        </w:rPr>
        <w:t>1</w:t>
      </w:r>
      <w:r w:rsidRPr="008A1BF3">
        <w:rPr>
          <w:rFonts w:cstheme="minorHAnsi"/>
          <w:szCs w:val="21"/>
        </w:rPr>
        <w:t xml:space="preserve">0,000 </w:t>
      </w:r>
      <w:r w:rsidRPr="008A1BF3">
        <w:rPr>
          <w:rFonts w:cstheme="minorHAnsi"/>
          <w:szCs w:val="21"/>
        </w:rPr>
        <w:t>份。</w:t>
      </w:r>
      <w:r w:rsidR="00C34B5A" w:rsidRPr="008A1BF3">
        <w:rPr>
          <w:rFonts w:cstheme="minorHAnsi"/>
          <w:szCs w:val="21"/>
        </w:rPr>
        <w:t>在本基金的不定期份额折算</w:t>
      </w:r>
      <w:r w:rsidRPr="008A1BF3">
        <w:rPr>
          <w:rFonts w:cstheme="minorHAnsi"/>
          <w:szCs w:val="21"/>
        </w:rPr>
        <w:t>基准</w:t>
      </w:r>
      <w:r w:rsidR="00C34B5A" w:rsidRPr="008A1BF3">
        <w:rPr>
          <w:rFonts w:cstheme="minorHAnsi"/>
          <w:szCs w:val="21"/>
        </w:rPr>
        <w:t>日，</w:t>
      </w:r>
      <w:r w:rsidRPr="008A1BF3">
        <w:rPr>
          <w:rFonts w:cstheme="minorHAnsi"/>
          <w:szCs w:val="21"/>
        </w:rPr>
        <w:t>假设三类份额的</w:t>
      </w:r>
      <w:r w:rsidR="003100E9" w:rsidRPr="008A1BF3">
        <w:rPr>
          <w:rFonts w:cstheme="minorHAnsi"/>
          <w:szCs w:val="21"/>
        </w:rPr>
        <w:t>基金份额净值</w:t>
      </w:r>
      <w:r w:rsidRPr="008A1BF3">
        <w:rPr>
          <w:rFonts w:cstheme="minorHAnsi"/>
          <w:szCs w:val="21"/>
        </w:rPr>
        <w:t>分别</w:t>
      </w:r>
      <w:r w:rsidR="00C34B5A" w:rsidRPr="008A1BF3">
        <w:rPr>
          <w:rFonts w:cstheme="minorHAnsi"/>
          <w:szCs w:val="21"/>
        </w:rPr>
        <w:t>如下表所示</w:t>
      </w:r>
      <w:r w:rsidRPr="008A1BF3">
        <w:rPr>
          <w:rFonts w:cstheme="minorHAnsi"/>
          <w:szCs w:val="21"/>
        </w:rPr>
        <w:t>（为便于投资者理解，此处采用假设的份额净值进行计算，基准日折算前准确</w:t>
      </w:r>
      <w:r w:rsidR="000745E1" w:rsidRPr="008A1BF3">
        <w:rPr>
          <w:rFonts w:cstheme="minorHAnsi"/>
          <w:szCs w:val="21"/>
        </w:rPr>
        <w:t>的份额净值以当日日终基金管理人计算并经托管人复核的份额净值为准</w:t>
      </w:r>
      <w:r w:rsidR="00D26449" w:rsidRPr="008A1BF3">
        <w:rPr>
          <w:rFonts w:cstheme="minorHAnsi"/>
          <w:szCs w:val="21"/>
        </w:rPr>
        <w:t>），份额折算后，信诚</w:t>
      </w:r>
      <w:r w:rsidR="00E41138" w:rsidRPr="008A1BF3">
        <w:rPr>
          <w:rFonts w:cstheme="minorHAnsi"/>
          <w:szCs w:val="21"/>
        </w:rPr>
        <w:t>TMT</w:t>
      </w:r>
      <w:r w:rsidR="00D26449" w:rsidRPr="008A1BF3">
        <w:rPr>
          <w:rFonts w:cstheme="minorHAnsi"/>
          <w:szCs w:val="21"/>
        </w:rPr>
        <w:t>份额、</w:t>
      </w:r>
      <w:r w:rsidR="00E41138" w:rsidRPr="008A1BF3">
        <w:rPr>
          <w:rFonts w:cstheme="minorHAnsi"/>
          <w:szCs w:val="21"/>
        </w:rPr>
        <w:t>TMT</w:t>
      </w:r>
      <w:r w:rsidR="00E41138" w:rsidRPr="008A1BF3">
        <w:rPr>
          <w:rFonts w:cstheme="minorHAnsi"/>
          <w:szCs w:val="21"/>
        </w:rPr>
        <w:t>中证</w:t>
      </w:r>
      <w:r w:rsidR="00E41138" w:rsidRPr="008A1BF3">
        <w:rPr>
          <w:rFonts w:cstheme="minorHAnsi"/>
          <w:szCs w:val="21"/>
        </w:rPr>
        <w:t>A</w:t>
      </w:r>
      <w:r w:rsidR="00D26449" w:rsidRPr="008A1BF3">
        <w:rPr>
          <w:rFonts w:cstheme="minorHAnsi"/>
          <w:szCs w:val="21"/>
        </w:rPr>
        <w:t>份额和</w:t>
      </w:r>
      <w:r w:rsidR="00E41138" w:rsidRPr="008A1BF3">
        <w:rPr>
          <w:rFonts w:cstheme="minorHAnsi"/>
          <w:szCs w:val="21"/>
        </w:rPr>
        <w:t>TMT</w:t>
      </w:r>
      <w:r w:rsidR="00E41138" w:rsidRPr="008A1BF3">
        <w:rPr>
          <w:rFonts w:cstheme="minorHAnsi"/>
          <w:szCs w:val="21"/>
        </w:rPr>
        <w:t>中证</w:t>
      </w:r>
      <w:r w:rsidR="00E41138" w:rsidRPr="008A1BF3">
        <w:rPr>
          <w:rFonts w:cstheme="minorHAnsi"/>
          <w:szCs w:val="21"/>
        </w:rPr>
        <w:t>B</w:t>
      </w:r>
      <w:r w:rsidR="00D26449" w:rsidRPr="008A1BF3">
        <w:rPr>
          <w:rFonts w:cstheme="minorHAnsi"/>
          <w:szCs w:val="21"/>
        </w:rPr>
        <w:t>份额的基金份额净值均调整为</w:t>
      </w:r>
      <w:r w:rsidR="00D26449" w:rsidRPr="008A1BF3">
        <w:rPr>
          <w:rFonts w:cstheme="minorHAnsi"/>
          <w:szCs w:val="21"/>
        </w:rPr>
        <w:t>1.000</w:t>
      </w:r>
      <w:r w:rsidR="00D26449" w:rsidRPr="008A1BF3">
        <w:rPr>
          <w:rFonts w:cstheme="minorHAnsi"/>
          <w:szCs w:val="21"/>
        </w:rPr>
        <w:t>元。</w:t>
      </w:r>
    </w:p>
    <w:tbl>
      <w:tblPr>
        <w:tblW w:w="8379" w:type="dxa"/>
        <w:tblInd w:w="93" w:type="dxa"/>
        <w:tblLook w:val="04A0"/>
      </w:tblPr>
      <w:tblGrid>
        <w:gridCol w:w="1291"/>
        <w:gridCol w:w="1559"/>
        <w:gridCol w:w="1560"/>
        <w:gridCol w:w="1559"/>
        <w:gridCol w:w="2410"/>
      </w:tblGrid>
      <w:tr w:rsidR="00807904" w:rsidRPr="005C068C" w:rsidTr="00981C45">
        <w:trPr>
          <w:trHeight w:val="285"/>
        </w:trPr>
        <w:tc>
          <w:tcPr>
            <w:tcW w:w="1291"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807904" w:rsidRPr="005C068C" w:rsidRDefault="00807904">
            <w:pPr>
              <w:rPr>
                <w:rFonts w:ascii="Calibri" w:eastAsia="宋体" w:hAnsi="Calibri" w:cs="Calibri"/>
                <w:color w:val="000000"/>
                <w:szCs w:val="21"/>
              </w:rPr>
            </w:pPr>
            <w:r w:rsidRPr="005C068C">
              <w:rPr>
                <w:rFonts w:ascii="Calibri" w:hAnsi="Calibri" w:cs="Calibri"/>
                <w:color w:val="000000"/>
                <w:szCs w:val="21"/>
              </w:rPr>
              <w:t xml:space="preserve">　</w:t>
            </w:r>
          </w:p>
        </w:tc>
        <w:tc>
          <w:tcPr>
            <w:tcW w:w="3119" w:type="dxa"/>
            <w:gridSpan w:val="2"/>
            <w:tcBorders>
              <w:top w:val="single" w:sz="8" w:space="0" w:color="auto"/>
              <w:left w:val="nil"/>
              <w:bottom w:val="single" w:sz="8" w:space="0" w:color="auto"/>
              <w:right w:val="single" w:sz="8" w:space="0" w:color="000000"/>
            </w:tcBorders>
            <w:shd w:val="clear" w:color="auto" w:fill="auto"/>
            <w:hideMark/>
          </w:tcPr>
          <w:p w:rsidR="00807904" w:rsidRPr="005C068C" w:rsidRDefault="00807904">
            <w:pPr>
              <w:jc w:val="center"/>
              <w:rPr>
                <w:rFonts w:ascii="宋体" w:eastAsia="宋体" w:hAnsi="宋体" w:cs="宋体"/>
                <w:color w:val="000000"/>
                <w:szCs w:val="21"/>
              </w:rPr>
            </w:pPr>
            <w:r w:rsidRPr="005C068C">
              <w:rPr>
                <w:rFonts w:hint="eastAsia"/>
                <w:color w:val="000000"/>
                <w:szCs w:val="21"/>
              </w:rPr>
              <w:t>折算前</w:t>
            </w:r>
          </w:p>
        </w:tc>
        <w:tc>
          <w:tcPr>
            <w:tcW w:w="3969" w:type="dxa"/>
            <w:gridSpan w:val="2"/>
            <w:tcBorders>
              <w:top w:val="single" w:sz="8" w:space="0" w:color="auto"/>
              <w:left w:val="nil"/>
              <w:bottom w:val="single" w:sz="8" w:space="0" w:color="auto"/>
              <w:right w:val="single" w:sz="8" w:space="0" w:color="000000"/>
            </w:tcBorders>
            <w:shd w:val="clear" w:color="auto" w:fill="auto"/>
            <w:hideMark/>
          </w:tcPr>
          <w:p w:rsidR="00807904" w:rsidRPr="005C068C" w:rsidRDefault="00807904">
            <w:pPr>
              <w:jc w:val="center"/>
              <w:rPr>
                <w:rFonts w:ascii="宋体" w:eastAsia="宋体" w:hAnsi="宋体" w:cs="宋体"/>
                <w:color w:val="000000"/>
                <w:szCs w:val="21"/>
              </w:rPr>
            </w:pPr>
            <w:r w:rsidRPr="005C068C">
              <w:rPr>
                <w:rFonts w:hint="eastAsia"/>
                <w:color w:val="000000"/>
                <w:szCs w:val="21"/>
              </w:rPr>
              <w:t>折算后</w:t>
            </w:r>
          </w:p>
        </w:tc>
      </w:tr>
      <w:tr w:rsidR="00807904" w:rsidRPr="005C068C" w:rsidTr="00E829C7">
        <w:trPr>
          <w:trHeight w:val="270"/>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807904" w:rsidRPr="005C068C" w:rsidRDefault="00807904">
            <w:pPr>
              <w:rPr>
                <w:rFonts w:ascii="Calibri" w:eastAsia="宋体" w:hAnsi="Calibri" w:cs="Calibri"/>
                <w:color w:val="000000"/>
                <w:szCs w:val="21"/>
              </w:rPr>
            </w:pPr>
          </w:p>
        </w:tc>
        <w:tc>
          <w:tcPr>
            <w:tcW w:w="1559" w:type="dxa"/>
            <w:tcBorders>
              <w:top w:val="nil"/>
              <w:left w:val="nil"/>
              <w:bottom w:val="nil"/>
              <w:right w:val="single" w:sz="8" w:space="0" w:color="auto"/>
            </w:tcBorders>
            <w:shd w:val="clear" w:color="auto" w:fill="auto"/>
            <w:hideMark/>
          </w:tcPr>
          <w:p w:rsidR="00807904" w:rsidRPr="005C068C" w:rsidRDefault="00807904">
            <w:pPr>
              <w:rPr>
                <w:rFonts w:ascii="宋体" w:eastAsia="宋体" w:hAnsi="宋体" w:cs="宋体"/>
                <w:color w:val="000000"/>
                <w:szCs w:val="21"/>
              </w:rPr>
            </w:pPr>
            <w:r w:rsidRPr="005C068C">
              <w:rPr>
                <w:rFonts w:hint="eastAsia"/>
                <w:color w:val="000000"/>
                <w:szCs w:val="21"/>
              </w:rPr>
              <w:t>基金份额</w:t>
            </w:r>
          </w:p>
        </w:tc>
        <w:tc>
          <w:tcPr>
            <w:tcW w:w="1560" w:type="dxa"/>
            <w:vMerge w:val="restart"/>
            <w:tcBorders>
              <w:top w:val="nil"/>
              <w:left w:val="single" w:sz="8" w:space="0" w:color="auto"/>
              <w:bottom w:val="single" w:sz="8" w:space="0" w:color="000000"/>
              <w:right w:val="single" w:sz="8" w:space="0" w:color="auto"/>
            </w:tcBorders>
            <w:shd w:val="clear" w:color="auto" w:fill="auto"/>
            <w:hideMark/>
          </w:tcPr>
          <w:p w:rsidR="00807904" w:rsidRPr="005C068C" w:rsidRDefault="00807904">
            <w:pPr>
              <w:rPr>
                <w:rFonts w:ascii="宋体" w:eastAsia="宋体" w:hAnsi="宋体" w:cs="宋体"/>
                <w:color w:val="000000"/>
                <w:szCs w:val="21"/>
              </w:rPr>
            </w:pPr>
            <w:r w:rsidRPr="005C068C">
              <w:rPr>
                <w:rFonts w:hint="eastAsia"/>
                <w:color w:val="000000"/>
                <w:szCs w:val="21"/>
              </w:rPr>
              <w:t>基金份额</w:t>
            </w:r>
          </w:p>
        </w:tc>
        <w:tc>
          <w:tcPr>
            <w:tcW w:w="1559" w:type="dxa"/>
            <w:tcBorders>
              <w:top w:val="nil"/>
              <w:left w:val="nil"/>
              <w:bottom w:val="nil"/>
              <w:right w:val="single" w:sz="8" w:space="0" w:color="auto"/>
            </w:tcBorders>
            <w:shd w:val="clear" w:color="auto" w:fill="auto"/>
            <w:hideMark/>
          </w:tcPr>
          <w:p w:rsidR="00807904" w:rsidRPr="005C068C" w:rsidRDefault="00807904">
            <w:pPr>
              <w:rPr>
                <w:rFonts w:ascii="宋体" w:eastAsia="宋体" w:hAnsi="宋体" w:cs="宋体"/>
                <w:color w:val="000000"/>
                <w:szCs w:val="21"/>
              </w:rPr>
            </w:pPr>
            <w:r w:rsidRPr="005C068C">
              <w:rPr>
                <w:rFonts w:hint="eastAsia"/>
                <w:color w:val="000000"/>
                <w:szCs w:val="21"/>
              </w:rPr>
              <w:t>基金</w:t>
            </w:r>
          </w:p>
        </w:tc>
        <w:tc>
          <w:tcPr>
            <w:tcW w:w="2410" w:type="dxa"/>
            <w:vMerge w:val="restart"/>
            <w:tcBorders>
              <w:top w:val="nil"/>
              <w:left w:val="single" w:sz="8" w:space="0" w:color="auto"/>
              <w:bottom w:val="single" w:sz="8" w:space="0" w:color="000000"/>
              <w:right w:val="single" w:sz="8" w:space="0" w:color="auto"/>
            </w:tcBorders>
            <w:shd w:val="clear" w:color="auto" w:fill="auto"/>
            <w:hideMark/>
          </w:tcPr>
          <w:p w:rsidR="00807904" w:rsidRPr="005C068C" w:rsidRDefault="00807904">
            <w:pPr>
              <w:rPr>
                <w:rFonts w:ascii="宋体" w:eastAsia="宋体" w:hAnsi="宋体" w:cs="宋体"/>
                <w:color w:val="000000"/>
                <w:szCs w:val="21"/>
              </w:rPr>
            </w:pPr>
            <w:r w:rsidRPr="005C068C">
              <w:rPr>
                <w:rFonts w:hint="eastAsia"/>
                <w:color w:val="000000"/>
                <w:szCs w:val="21"/>
              </w:rPr>
              <w:t>基金份额</w:t>
            </w:r>
          </w:p>
        </w:tc>
      </w:tr>
      <w:tr w:rsidR="00807904" w:rsidRPr="005C068C" w:rsidTr="00E829C7">
        <w:trPr>
          <w:trHeight w:val="316"/>
        </w:trPr>
        <w:tc>
          <w:tcPr>
            <w:tcW w:w="1291" w:type="dxa"/>
            <w:vMerge/>
            <w:tcBorders>
              <w:top w:val="single" w:sz="8" w:space="0" w:color="auto"/>
              <w:left w:val="single" w:sz="8" w:space="0" w:color="auto"/>
              <w:bottom w:val="single" w:sz="8" w:space="0" w:color="000000"/>
              <w:right w:val="single" w:sz="8" w:space="0" w:color="auto"/>
            </w:tcBorders>
            <w:vAlign w:val="center"/>
            <w:hideMark/>
          </w:tcPr>
          <w:p w:rsidR="00807904" w:rsidRPr="005C068C" w:rsidRDefault="00807904">
            <w:pPr>
              <w:rPr>
                <w:rFonts w:ascii="Calibri" w:eastAsia="宋体" w:hAnsi="Calibri" w:cs="Calibri"/>
                <w:color w:val="000000"/>
                <w:szCs w:val="21"/>
              </w:rPr>
            </w:pPr>
          </w:p>
        </w:tc>
        <w:tc>
          <w:tcPr>
            <w:tcW w:w="1559" w:type="dxa"/>
            <w:tcBorders>
              <w:top w:val="nil"/>
              <w:left w:val="nil"/>
              <w:bottom w:val="single" w:sz="8" w:space="0" w:color="auto"/>
              <w:right w:val="single" w:sz="8" w:space="0" w:color="auto"/>
            </w:tcBorders>
            <w:shd w:val="clear" w:color="auto" w:fill="auto"/>
            <w:hideMark/>
          </w:tcPr>
          <w:p w:rsidR="00807904" w:rsidRPr="005C068C" w:rsidRDefault="00807904">
            <w:pPr>
              <w:rPr>
                <w:rFonts w:ascii="宋体" w:eastAsia="宋体" w:hAnsi="宋体" w:cs="宋体"/>
                <w:color w:val="000000"/>
                <w:szCs w:val="21"/>
              </w:rPr>
            </w:pPr>
            <w:r w:rsidRPr="005C068C">
              <w:rPr>
                <w:rFonts w:hint="eastAsia"/>
                <w:color w:val="000000"/>
                <w:szCs w:val="21"/>
              </w:rPr>
              <w:t>净值（假设值）</w:t>
            </w:r>
          </w:p>
        </w:tc>
        <w:tc>
          <w:tcPr>
            <w:tcW w:w="1560" w:type="dxa"/>
            <w:vMerge/>
            <w:tcBorders>
              <w:top w:val="nil"/>
              <w:left w:val="single" w:sz="8" w:space="0" w:color="auto"/>
              <w:bottom w:val="single" w:sz="8" w:space="0" w:color="000000"/>
              <w:right w:val="single" w:sz="8" w:space="0" w:color="auto"/>
            </w:tcBorders>
            <w:vAlign w:val="center"/>
            <w:hideMark/>
          </w:tcPr>
          <w:p w:rsidR="00807904" w:rsidRPr="005C068C" w:rsidRDefault="00807904">
            <w:pPr>
              <w:rPr>
                <w:rFonts w:ascii="宋体" w:eastAsia="宋体" w:hAnsi="宋体" w:cs="宋体"/>
                <w:color w:val="000000"/>
                <w:szCs w:val="21"/>
              </w:rPr>
            </w:pPr>
          </w:p>
        </w:tc>
        <w:tc>
          <w:tcPr>
            <w:tcW w:w="1559" w:type="dxa"/>
            <w:tcBorders>
              <w:top w:val="nil"/>
              <w:left w:val="nil"/>
              <w:bottom w:val="single" w:sz="8" w:space="0" w:color="auto"/>
              <w:right w:val="single" w:sz="8" w:space="0" w:color="auto"/>
            </w:tcBorders>
            <w:shd w:val="clear" w:color="auto" w:fill="auto"/>
            <w:hideMark/>
          </w:tcPr>
          <w:p w:rsidR="00807904" w:rsidRPr="005C068C" w:rsidRDefault="00807904">
            <w:pPr>
              <w:rPr>
                <w:rFonts w:ascii="宋体" w:eastAsia="宋体" w:hAnsi="宋体" w:cs="宋体"/>
                <w:color w:val="000000"/>
                <w:szCs w:val="21"/>
              </w:rPr>
            </w:pPr>
            <w:r w:rsidRPr="005C068C">
              <w:rPr>
                <w:rFonts w:hint="eastAsia"/>
                <w:color w:val="000000"/>
                <w:szCs w:val="21"/>
              </w:rPr>
              <w:t>份额净值</w:t>
            </w:r>
          </w:p>
        </w:tc>
        <w:tc>
          <w:tcPr>
            <w:tcW w:w="2410" w:type="dxa"/>
            <w:vMerge/>
            <w:tcBorders>
              <w:top w:val="nil"/>
              <w:left w:val="single" w:sz="8" w:space="0" w:color="auto"/>
              <w:bottom w:val="single" w:sz="8" w:space="0" w:color="000000"/>
              <w:right w:val="single" w:sz="8" w:space="0" w:color="auto"/>
            </w:tcBorders>
            <w:vAlign w:val="center"/>
            <w:hideMark/>
          </w:tcPr>
          <w:p w:rsidR="00807904" w:rsidRPr="005C068C" w:rsidRDefault="00807904">
            <w:pPr>
              <w:rPr>
                <w:rFonts w:ascii="宋体" w:eastAsia="宋体" w:hAnsi="宋体" w:cs="宋体"/>
                <w:color w:val="000000"/>
                <w:szCs w:val="21"/>
              </w:rPr>
            </w:pPr>
          </w:p>
        </w:tc>
      </w:tr>
      <w:tr w:rsidR="00807904" w:rsidRPr="005C068C" w:rsidTr="00E829C7">
        <w:trPr>
          <w:trHeight w:val="555"/>
        </w:trPr>
        <w:tc>
          <w:tcPr>
            <w:tcW w:w="1291" w:type="dxa"/>
            <w:tcBorders>
              <w:top w:val="nil"/>
              <w:left w:val="single" w:sz="8" w:space="0" w:color="auto"/>
              <w:bottom w:val="single" w:sz="8" w:space="0" w:color="auto"/>
              <w:right w:val="single" w:sz="8" w:space="0" w:color="auto"/>
            </w:tcBorders>
            <w:shd w:val="clear" w:color="auto" w:fill="auto"/>
            <w:hideMark/>
          </w:tcPr>
          <w:p w:rsidR="00807904" w:rsidRPr="005C068C" w:rsidRDefault="00807904">
            <w:pPr>
              <w:rPr>
                <w:rFonts w:ascii="宋体" w:eastAsia="宋体" w:hAnsi="宋体" w:cs="宋体"/>
                <w:color w:val="000000"/>
                <w:szCs w:val="21"/>
              </w:rPr>
            </w:pPr>
            <w:r w:rsidRPr="005C068C">
              <w:rPr>
                <w:rFonts w:hint="eastAsia"/>
                <w:color w:val="000000"/>
                <w:szCs w:val="21"/>
              </w:rPr>
              <w:t>信诚</w:t>
            </w:r>
            <w:r w:rsidR="00E41138" w:rsidRPr="005C068C">
              <w:rPr>
                <w:rFonts w:hint="eastAsia"/>
                <w:color w:val="000000"/>
                <w:szCs w:val="21"/>
              </w:rPr>
              <w:t>TMT</w:t>
            </w:r>
            <w:r w:rsidRPr="005C068C">
              <w:rPr>
                <w:rFonts w:hint="eastAsia"/>
                <w:color w:val="000000"/>
                <w:szCs w:val="21"/>
              </w:rPr>
              <w:t>份额</w:t>
            </w:r>
          </w:p>
        </w:tc>
        <w:tc>
          <w:tcPr>
            <w:tcW w:w="1559" w:type="dxa"/>
            <w:tcBorders>
              <w:top w:val="nil"/>
              <w:left w:val="nil"/>
              <w:bottom w:val="single" w:sz="8" w:space="0" w:color="auto"/>
              <w:right w:val="single" w:sz="8" w:space="0" w:color="auto"/>
            </w:tcBorders>
            <w:shd w:val="clear" w:color="auto" w:fill="auto"/>
            <w:hideMark/>
          </w:tcPr>
          <w:p w:rsidR="00807904" w:rsidRPr="005C068C" w:rsidRDefault="003D48C6">
            <w:pPr>
              <w:rPr>
                <w:rFonts w:ascii="Calibri" w:eastAsia="宋体" w:hAnsi="Calibri" w:cs="Calibri"/>
                <w:color w:val="000000"/>
                <w:szCs w:val="21"/>
              </w:rPr>
            </w:pPr>
            <w:r w:rsidRPr="005C068C">
              <w:rPr>
                <w:rFonts w:ascii="Calibri" w:hAnsi="Calibri" w:cs="Calibri" w:hint="eastAsia"/>
                <w:color w:val="000000"/>
                <w:szCs w:val="21"/>
              </w:rPr>
              <w:t>0.620</w:t>
            </w:r>
            <w:r w:rsidR="00807904" w:rsidRPr="005C068C">
              <w:rPr>
                <w:rFonts w:cs="Calibri" w:hint="eastAsia"/>
                <w:color w:val="000000"/>
                <w:szCs w:val="21"/>
              </w:rPr>
              <w:t>元</w:t>
            </w:r>
          </w:p>
        </w:tc>
        <w:tc>
          <w:tcPr>
            <w:tcW w:w="1560" w:type="dxa"/>
            <w:tcBorders>
              <w:top w:val="nil"/>
              <w:left w:val="nil"/>
              <w:bottom w:val="single" w:sz="8" w:space="0" w:color="auto"/>
              <w:right w:val="single" w:sz="8" w:space="0" w:color="auto"/>
            </w:tcBorders>
            <w:shd w:val="clear" w:color="auto" w:fill="auto"/>
            <w:hideMark/>
          </w:tcPr>
          <w:p w:rsidR="00807904" w:rsidRPr="005C068C" w:rsidRDefault="00807904">
            <w:pPr>
              <w:rPr>
                <w:rFonts w:ascii="Calibri" w:eastAsia="宋体" w:hAnsi="Calibri" w:cs="Calibri"/>
                <w:color w:val="000000"/>
                <w:szCs w:val="21"/>
              </w:rPr>
            </w:pPr>
            <w:r w:rsidRPr="005C068C">
              <w:rPr>
                <w:rFonts w:ascii="Calibri" w:hAnsi="Calibri" w:cs="Calibri"/>
                <w:color w:val="000000"/>
                <w:szCs w:val="21"/>
              </w:rPr>
              <w:t>10,000</w:t>
            </w:r>
            <w:r w:rsidRPr="005C068C">
              <w:rPr>
                <w:rFonts w:cs="Calibri" w:hint="eastAsia"/>
                <w:color w:val="000000"/>
                <w:szCs w:val="21"/>
              </w:rPr>
              <w:t>份</w:t>
            </w:r>
          </w:p>
        </w:tc>
        <w:tc>
          <w:tcPr>
            <w:tcW w:w="1559" w:type="dxa"/>
            <w:tcBorders>
              <w:top w:val="nil"/>
              <w:left w:val="nil"/>
              <w:bottom w:val="single" w:sz="8" w:space="0" w:color="auto"/>
              <w:right w:val="single" w:sz="8" w:space="0" w:color="auto"/>
            </w:tcBorders>
            <w:shd w:val="clear" w:color="auto" w:fill="auto"/>
            <w:hideMark/>
          </w:tcPr>
          <w:p w:rsidR="00807904" w:rsidRPr="005C068C" w:rsidRDefault="00807904">
            <w:pPr>
              <w:rPr>
                <w:rFonts w:ascii="Calibri" w:eastAsia="宋体" w:hAnsi="Calibri" w:cs="Calibri"/>
                <w:color w:val="000000"/>
                <w:szCs w:val="21"/>
              </w:rPr>
            </w:pPr>
            <w:r w:rsidRPr="005C068C">
              <w:rPr>
                <w:rFonts w:ascii="Calibri" w:hAnsi="Calibri" w:cs="Calibri"/>
                <w:color w:val="000000"/>
                <w:szCs w:val="21"/>
              </w:rPr>
              <w:t>1.000</w:t>
            </w:r>
            <w:r w:rsidRPr="005C068C">
              <w:rPr>
                <w:rFonts w:cs="Calibri" w:hint="eastAsia"/>
                <w:color w:val="000000"/>
                <w:szCs w:val="21"/>
              </w:rPr>
              <w:t>元</w:t>
            </w:r>
          </w:p>
        </w:tc>
        <w:tc>
          <w:tcPr>
            <w:tcW w:w="2410" w:type="dxa"/>
            <w:tcBorders>
              <w:top w:val="nil"/>
              <w:left w:val="nil"/>
              <w:bottom w:val="single" w:sz="8" w:space="0" w:color="auto"/>
              <w:right w:val="single" w:sz="8" w:space="0" w:color="auto"/>
            </w:tcBorders>
            <w:shd w:val="clear" w:color="auto" w:fill="auto"/>
            <w:hideMark/>
          </w:tcPr>
          <w:p w:rsidR="00807904" w:rsidRPr="005C068C" w:rsidRDefault="003D48C6" w:rsidP="003D48C6">
            <w:pPr>
              <w:rPr>
                <w:rFonts w:ascii="Calibri" w:eastAsia="宋体" w:hAnsi="Calibri" w:cs="Calibri"/>
                <w:color w:val="000000"/>
                <w:szCs w:val="21"/>
              </w:rPr>
            </w:pPr>
            <w:r w:rsidRPr="005C068C">
              <w:rPr>
                <w:rFonts w:ascii="Calibri" w:hAnsi="Calibri" w:cs="Calibri" w:hint="eastAsia"/>
                <w:color w:val="000000"/>
                <w:szCs w:val="21"/>
              </w:rPr>
              <w:t>6,200</w:t>
            </w:r>
            <w:r w:rsidR="00EA6B82" w:rsidRPr="005C068C">
              <w:rPr>
                <w:rFonts w:cs="Calibri" w:hint="eastAsia"/>
                <w:color w:val="000000"/>
                <w:szCs w:val="21"/>
              </w:rPr>
              <w:t>份信诚</w:t>
            </w:r>
            <w:r w:rsidR="00EA6B82" w:rsidRPr="005C068C">
              <w:rPr>
                <w:rFonts w:cs="Calibri" w:hint="eastAsia"/>
                <w:color w:val="000000"/>
                <w:szCs w:val="21"/>
              </w:rPr>
              <w:t xml:space="preserve">TMT </w:t>
            </w:r>
            <w:r w:rsidR="00EA6B82" w:rsidRPr="005C068C">
              <w:rPr>
                <w:rFonts w:cs="Calibri" w:hint="eastAsia"/>
                <w:color w:val="000000"/>
                <w:szCs w:val="21"/>
              </w:rPr>
              <w:t>份额</w:t>
            </w:r>
          </w:p>
        </w:tc>
      </w:tr>
      <w:tr w:rsidR="00807904" w:rsidRPr="005C068C" w:rsidTr="00E829C7">
        <w:trPr>
          <w:trHeight w:val="814"/>
        </w:trPr>
        <w:tc>
          <w:tcPr>
            <w:tcW w:w="1291" w:type="dxa"/>
            <w:tcBorders>
              <w:top w:val="nil"/>
              <w:left w:val="single" w:sz="8" w:space="0" w:color="auto"/>
              <w:bottom w:val="single" w:sz="8" w:space="0" w:color="auto"/>
              <w:right w:val="single" w:sz="8" w:space="0" w:color="auto"/>
            </w:tcBorders>
            <w:shd w:val="clear" w:color="auto" w:fill="auto"/>
            <w:hideMark/>
          </w:tcPr>
          <w:p w:rsidR="00807904" w:rsidRPr="005C068C" w:rsidRDefault="00E41138">
            <w:pPr>
              <w:rPr>
                <w:rFonts w:ascii="宋体" w:eastAsia="宋体" w:hAnsi="宋体" w:cs="宋体"/>
                <w:color w:val="000000"/>
                <w:szCs w:val="21"/>
              </w:rPr>
            </w:pPr>
            <w:r w:rsidRPr="005C068C">
              <w:rPr>
                <w:rFonts w:hint="eastAsia"/>
                <w:szCs w:val="21"/>
              </w:rPr>
              <w:t>TMT</w:t>
            </w:r>
            <w:r w:rsidRPr="005C068C">
              <w:rPr>
                <w:rFonts w:hint="eastAsia"/>
                <w:szCs w:val="21"/>
              </w:rPr>
              <w:t>中证</w:t>
            </w:r>
            <w:r w:rsidRPr="005C068C">
              <w:rPr>
                <w:rFonts w:hint="eastAsia"/>
                <w:szCs w:val="21"/>
              </w:rPr>
              <w:t>A</w:t>
            </w:r>
            <w:r w:rsidRPr="005C068C">
              <w:rPr>
                <w:rFonts w:hint="eastAsia"/>
                <w:szCs w:val="21"/>
              </w:rPr>
              <w:t>份额</w:t>
            </w:r>
          </w:p>
        </w:tc>
        <w:tc>
          <w:tcPr>
            <w:tcW w:w="1559" w:type="dxa"/>
            <w:tcBorders>
              <w:top w:val="nil"/>
              <w:left w:val="nil"/>
              <w:bottom w:val="single" w:sz="8" w:space="0" w:color="auto"/>
              <w:right w:val="single" w:sz="8" w:space="0" w:color="auto"/>
            </w:tcBorders>
            <w:shd w:val="clear" w:color="auto" w:fill="auto"/>
            <w:hideMark/>
          </w:tcPr>
          <w:p w:rsidR="00807904" w:rsidRPr="005C068C" w:rsidRDefault="003D48C6">
            <w:pPr>
              <w:rPr>
                <w:rFonts w:ascii="Calibri" w:eastAsia="宋体" w:hAnsi="Calibri" w:cs="Calibri"/>
                <w:color w:val="000000"/>
                <w:szCs w:val="21"/>
              </w:rPr>
            </w:pPr>
            <w:r w:rsidRPr="005C068C">
              <w:rPr>
                <w:rFonts w:ascii="Calibri" w:hAnsi="Calibri" w:cs="Calibri" w:hint="eastAsia"/>
                <w:color w:val="000000"/>
                <w:szCs w:val="21"/>
              </w:rPr>
              <w:t>1.004</w:t>
            </w:r>
            <w:r w:rsidR="00807904" w:rsidRPr="005C068C">
              <w:rPr>
                <w:rFonts w:cs="Calibri" w:hint="eastAsia"/>
                <w:color w:val="000000"/>
                <w:szCs w:val="21"/>
              </w:rPr>
              <w:t>元</w:t>
            </w:r>
          </w:p>
        </w:tc>
        <w:tc>
          <w:tcPr>
            <w:tcW w:w="1560" w:type="dxa"/>
            <w:tcBorders>
              <w:top w:val="nil"/>
              <w:left w:val="nil"/>
              <w:bottom w:val="single" w:sz="8" w:space="0" w:color="auto"/>
              <w:right w:val="single" w:sz="8" w:space="0" w:color="auto"/>
            </w:tcBorders>
            <w:shd w:val="clear" w:color="auto" w:fill="auto"/>
            <w:hideMark/>
          </w:tcPr>
          <w:p w:rsidR="00807904" w:rsidRPr="005C068C" w:rsidRDefault="00807904">
            <w:pPr>
              <w:rPr>
                <w:rFonts w:ascii="Calibri" w:eastAsia="宋体" w:hAnsi="Calibri" w:cs="Calibri"/>
                <w:color w:val="000000"/>
                <w:szCs w:val="21"/>
              </w:rPr>
            </w:pPr>
            <w:r w:rsidRPr="005C068C">
              <w:rPr>
                <w:rFonts w:ascii="Calibri" w:hAnsi="Calibri" w:cs="Calibri"/>
                <w:color w:val="000000"/>
                <w:szCs w:val="21"/>
              </w:rPr>
              <w:t>10,000</w:t>
            </w:r>
            <w:r w:rsidRPr="005C068C">
              <w:rPr>
                <w:rFonts w:cs="Calibri" w:hint="eastAsia"/>
                <w:color w:val="000000"/>
                <w:szCs w:val="21"/>
              </w:rPr>
              <w:t>份</w:t>
            </w:r>
          </w:p>
        </w:tc>
        <w:tc>
          <w:tcPr>
            <w:tcW w:w="1559" w:type="dxa"/>
            <w:tcBorders>
              <w:top w:val="nil"/>
              <w:left w:val="nil"/>
              <w:bottom w:val="single" w:sz="8" w:space="0" w:color="auto"/>
              <w:right w:val="single" w:sz="8" w:space="0" w:color="auto"/>
            </w:tcBorders>
            <w:shd w:val="clear" w:color="auto" w:fill="auto"/>
            <w:hideMark/>
          </w:tcPr>
          <w:p w:rsidR="00807904" w:rsidRPr="005C068C" w:rsidRDefault="00807904">
            <w:pPr>
              <w:rPr>
                <w:rFonts w:ascii="Calibri" w:eastAsia="宋体" w:hAnsi="Calibri" w:cs="Calibri"/>
                <w:color w:val="000000"/>
                <w:szCs w:val="21"/>
              </w:rPr>
            </w:pPr>
            <w:r w:rsidRPr="005C068C">
              <w:rPr>
                <w:rFonts w:ascii="Calibri" w:hAnsi="Calibri" w:cs="Calibri"/>
                <w:color w:val="000000"/>
                <w:szCs w:val="21"/>
              </w:rPr>
              <w:t>1.000</w:t>
            </w:r>
            <w:r w:rsidRPr="005C068C">
              <w:rPr>
                <w:rFonts w:cs="Calibri" w:hint="eastAsia"/>
                <w:color w:val="000000"/>
                <w:szCs w:val="21"/>
              </w:rPr>
              <w:t>元</w:t>
            </w:r>
          </w:p>
        </w:tc>
        <w:tc>
          <w:tcPr>
            <w:tcW w:w="2410" w:type="dxa"/>
            <w:tcBorders>
              <w:top w:val="nil"/>
              <w:left w:val="nil"/>
              <w:bottom w:val="single" w:sz="8" w:space="0" w:color="auto"/>
              <w:right w:val="single" w:sz="8" w:space="0" w:color="auto"/>
            </w:tcBorders>
            <w:shd w:val="clear" w:color="auto" w:fill="auto"/>
            <w:hideMark/>
          </w:tcPr>
          <w:p w:rsidR="00807904" w:rsidRPr="005C068C" w:rsidRDefault="004A645D" w:rsidP="00F40505">
            <w:pPr>
              <w:rPr>
                <w:rFonts w:ascii="Calibri" w:eastAsia="宋体" w:hAnsi="Calibri" w:cs="Calibri"/>
                <w:color w:val="000000"/>
                <w:szCs w:val="21"/>
              </w:rPr>
            </w:pPr>
            <w:r w:rsidRPr="005C068C">
              <w:rPr>
                <w:rFonts w:ascii="Calibri" w:hAnsi="Calibri" w:cs="Calibri" w:hint="eastAsia"/>
                <w:color w:val="000000"/>
                <w:szCs w:val="21"/>
              </w:rPr>
              <w:t>2360</w:t>
            </w:r>
            <w:r w:rsidR="00807904" w:rsidRPr="005C068C">
              <w:rPr>
                <w:rFonts w:cs="Calibri" w:hint="eastAsia"/>
                <w:color w:val="000000"/>
                <w:szCs w:val="21"/>
              </w:rPr>
              <w:t>份</w:t>
            </w:r>
            <w:r w:rsidR="00EA6B82" w:rsidRPr="005C068C">
              <w:rPr>
                <w:rFonts w:hint="eastAsia"/>
                <w:szCs w:val="21"/>
              </w:rPr>
              <w:t>TMT</w:t>
            </w:r>
            <w:r w:rsidR="00EA6B82" w:rsidRPr="005C068C">
              <w:rPr>
                <w:rFonts w:hint="eastAsia"/>
                <w:szCs w:val="21"/>
              </w:rPr>
              <w:t>中证</w:t>
            </w:r>
            <w:r w:rsidR="00EA6B82" w:rsidRPr="005C068C">
              <w:rPr>
                <w:rFonts w:hint="eastAsia"/>
                <w:szCs w:val="21"/>
              </w:rPr>
              <w:t>A</w:t>
            </w:r>
            <w:r w:rsidR="00807904" w:rsidRPr="005C068C">
              <w:rPr>
                <w:rFonts w:cs="Calibri" w:hint="eastAsia"/>
                <w:color w:val="000000"/>
                <w:szCs w:val="21"/>
              </w:rPr>
              <w:t>份额</w:t>
            </w:r>
            <w:r w:rsidR="00807904" w:rsidRPr="005C068C">
              <w:rPr>
                <w:rFonts w:ascii="Calibri" w:hAnsi="Calibri" w:cs="Calibri"/>
                <w:color w:val="000000"/>
                <w:szCs w:val="21"/>
              </w:rPr>
              <w:t>+</w:t>
            </w:r>
            <w:r w:rsidRPr="005C068C">
              <w:rPr>
                <w:rFonts w:ascii="Calibri" w:hAnsi="Calibri" w:cs="Calibri" w:hint="eastAsia"/>
                <w:color w:val="000000"/>
                <w:szCs w:val="21"/>
              </w:rPr>
              <w:t>7680</w:t>
            </w:r>
            <w:r w:rsidR="00EA6B82" w:rsidRPr="005C068C">
              <w:rPr>
                <w:rFonts w:cs="Calibri" w:hint="eastAsia"/>
                <w:color w:val="000000"/>
                <w:szCs w:val="21"/>
              </w:rPr>
              <w:t>份信诚</w:t>
            </w:r>
            <w:r w:rsidR="00EA6B82" w:rsidRPr="005C068C">
              <w:rPr>
                <w:rFonts w:cs="Calibri" w:hint="eastAsia"/>
                <w:color w:val="000000"/>
                <w:szCs w:val="21"/>
              </w:rPr>
              <w:t>TMT</w:t>
            </w:r>
            <w:r w:rsidR="00EA6B82" w:rsidRPr="005C068C">
              <w:rPr>
                <w:rFonts w:cs="Calibri" w:hint="eastAsia"/>
                <w:color w:val="000000"/>
                <w:szCs w:val="21"/>
              </w:rPr>
              <w:t>份额</w:t>
            </w:r>
          </w:p>
        </w:tc>
      </w:tr>
      <w:tr w:rsidR="00807904" w:rsidRPr="001952B6" w:rsidTr="00E829C7">
        <w:trPr>
          <w:trHeight w:val="766"/>
        </w:trPr>
        <w:tc>
          <w:tcPr>
            <w:tcW w:w="1291" w:type="dxa"/>
            <w:tcBorders>
              <w:top w:val="nil"/>
              <w:left w:val="single" w:sz="8" w:space="0" w:color="auto"/>
              <w:bottom w:val="single" w:sz="8" w:space="0" w:color="auto"/>
              <w:right w:val="single" w:sz="8" w:space="0" w:color="auto"/>
            </w:tcBorders>
            <w:shd w:val="clear" w:color="auto" w:fill="auto"/>
            <w:hideMark/>
          </w:tcPr>
          <w:p w:rsidR="00807904" w:rsidRPr="005C068C" w:rsidRDefault="00E41138">
            <w:pPr>
              <w:rPr>
                <w:rFonts w:ascii="宋体" w:eastAsia="宋体" w:hAnsi="宋体" w:cs="宋体"/>
                <w:color w:val="000000"/>
                <w:szCs w:val="21"/>
              </w:rPr>
            </w:pPr>
            <w:r w:rsidRPr="005C068C">
              <w:rPr>
                <w:rFonts w:hint="eastAsia"/>
                <w:szCs w:val="21"/>
              </w:rPr>
              <w:t>TMT</w:t>
            </w:r>
            <w:r w:rsidRPr="005C068C">
              <w:rPr>
                <w:rFonts w:hint="eastAsia"/>
                <w:szCs w:val="21"/>
              </w:rPr>
              <w:t>中证</w:t>
            </w:r>
            <w:r w:rsidRPr="005C068C">
              <w:rPr>
                <w:rFonts w:hint="eastAsia"/>
                <w:szCs w:val="21"/>
              </w:rPr>
              <w:t>B</w:t>
            </w:r>
            <w:r w:rsidR="00807904" w:rsidRPr="005C068C">
              <w:rPr>
                <w:rFonts w:hint="eastAsia"/>
                <w:color w:val="000000"/>
                <w:szCs w:val="21"/>
              </w:rPr>
              <w:t>份额</w:t>
            </w:r>
          </w:p>
        </w:tc>
        <w:tc>
          <w:tcPr>
            <w:tcW w:w="1559" w:type="dxa"/>
            <w:tcBorders>
              <w:top w:val="nil"/>
              <w:left w:val="nil"/>
              <w:bottom w:val="single" w:sz="8" w:space="0" w:color="auto"/>
              <w:right w:val="single" w:sz="8" w:space="0" w:color="auto"/>
            </w:tcBorders>
            <w:shd w:val="clear" w:color="auto" w:fill="auto"/>
            <w:hideMark/>
          </w:tcPr>
          <w:p w:rsidR="00807904" w:rsidRPr="005C068C" w:rsidRDefault="003D48C6">
            <w:pPr>
              <w:rPr>
                <w:rFonts w:ascii="Calibri" w:eastAsia="宋体" w:hAnsi="Calibri" w:cs="Calibri"/>
                <w:color w:val="000000"/>
                <w:szCs w:val="21"/>
              </w:rPr>
            </w:pPr>
            <w:r w:rsidRPr="005C068C">
              <w:rPr>
                <w:rFonts w:ascii="Calibri" w:hAnsi="Calibri" w:cs="Calibri" w:hint="eastAsia"/>
                <w:color w:val="000000"/>
                <w:szCs w:val="21"/>
              </w:rPr>
              <w:t>0.236</w:t>
            </w:r>
            <w:r w:rsidR="00807904" w:rsidRPr="005C068C">
              <w:rPr>
                <w:rFonts w:cs="Calibri" w:hint="eastAsia"/>
                <w:color w:val="000000"/>
                <w:szCs w:val="21"/>
              </w:rPr>
              <w:t>元</w:t>
            </w:r>
          </w:p>
        </w:tc>
        <w:tc>
          <w:tcPr>
            <w:tcW w:w="1560" w:type="dxa"/>
            <w:tcBorders>
              <w:top w:val="nil"/>
              <w:left w:val="nil"/>
              <w:bottom w:val="single" w:sz="8" w:space="0" w:color="auto"/>
              <w:right w:val="single" w:sz="8" w:space="0" w:color="auto"/>
            </w:tcBorders>
            <w:shd w:val="clear" w:color="auto" w:fill="auto"/>
            <w:hideMark/>
          </w:tcPr>
          <w:p w:rsidR="00807904" w:rsidRPr="005C068C" w:rsidRDefault="00807904">
            <w:pPr>
              <w:rPr>
                <w:rFonts w:ascii="Calibri" w:eastAsia="宋体" w:hAnsi="Calibri" w:cs="Calibri"/>
                <w:color w:val="000000"/>
                <w:szCs w:val="21"/>
              </w:rPr>
            </w:pPr>
            <w:r w:rsidRPr="005C068C">
              <w:rPr>
                <w:rFonts w:ascii="Calibri" w:hAnsi="Calibri" w:cs="Calibri"/>
                <w:color w:val="000000"/>
                <w:szCs w:val="21"/>
              </w:rPr>
              <w:t>10,000</w:t>
            </w:r>
            <w:r w:rsidRPr="005C068C">
              <w:rPr>
                <w:rFonts w:cs="Calibri" w:hint="eastAsia"/>
                <w:color w:val="000000"/>
                <w:szCs w:val="21"/>
              </w:rPr>
              <w:t>份</w:t>
            </w:r>
          </w:p>
        </w:tc>
        <w:tc>
          <w:tcPr>
            <w:tcW w:w="1559" w:type="dxa"/>
            <w:tcBorders>
              <w:top w:val="nil"/>
              <w:left w:val="nil"/>
              <w:bottom w:val="single" w:sz="8" w:space="0" w:color="auto"/>
              <w:right w:val="single" w:sz="8" w:space="0" w:color="auto"/>
            </w:tcBorders>
            <w:shd w:val="clear" w:color="auto" w:fill="auto"/>
            <w:hideMark/>
          </w:tcPr>
          <w:p w:rsidR="00807904" w:rsidRPr="005C068C" w:rsidRDefault="00807904">
            <w:pPr>
              <w:rPr>
                <w:rFonts w:ascii="Calibri" w:eastAsia="宋体" w:hAnsi="Calibri" w:cs="Calibri"/>
                <w:color w:val="000000"/>
                <w:szCs w:val="21"/>
              </w:rPr>
            </w:pPr>
            <w:r w:rsidRPr="005C068C">
              <w:rPr>
                <w:rFonts w:ascii="Calibri" w:hAnsi="Calibri" w:cs="Calibri"/>
                <w:color w:val="000000"/>
                <w:szCs w:val="21"/>
              </w:rPr>
              <w:t>1.000</w:t>
            </w:r>
            <w:r w:rsidRPr="005C068C">
              <w:rPr>
                <w:rFonts w:cs="Calibri" w:hint="eastAsia"/>
                <w:color w:val="000000"/>
                <w:szCs w:val="21"/>
              </w:rPr>
              <w:t>元</w:t>
            </w:r>
          </w:p>
        </w:tc>
        <w:tc>
          <w:tcPr>
            <w:tcW w:w="2410" w:type="dxa"/>
            <w:tcBorders>
              <w:top w:val="nil"/>
              <w:left w:val="nil"/>
              <w:bottom w:val="single" w:sz="8" w:space="0" w:color="auto"/>
              <w:right w:val="single" w:sz="8" w:space="0" w:color="auto"/>
            </w:tcBorders>
            <w:shd w:val="clear" w:color="auto" w:fill="auto"/>
            <w:hideMark/>
          </w:tcPr>
          <w:p w:rsidR="00807904" w:rsidRPr="005C068C" w:rsidRDefault="003D48C6" w:rsidP="003D48C6">
            <w:pPr>
              <w:rPr>
                <w:rFonts w:ascii="Calibri" w:eastAsia="宋体" w:hAnsi="Calibri" w:cs="Calibri"/>
                <w:color w:val="000000"/>
                <w:szCs w:val="21"/>
              </w:rPr>
            </w:pPr>
            <w:r w:rsidRPr="005C068C">
              <w:rPr>
                <w:rFonts w:ascii="Calibri" w:hAnsi="Calibri" w:cs="Calibri" w:hint="eastAsia"/>
                <w:color w:val="000000"/>
                <w:szCs w:val="21"/>
              </w:rPr>
              <w:t>2,360</w:t>
            </w:r>
            <w:r w:rsidR="00807904" w:rsidRPr="005C068C">
              <w:rPr>
                <w:rFonts w:cs="Calibri" w:hint="eastAsia"/>
                <w:color w:val="000000"/>
                <w:szCs w:val="21"/>
              </w:rPr>
              <w:t>份</w:t>
            </w:r>
            <w:r w:rsidR="00EA6B82" w:rsidRPr="005C068C">
              <w:rPr>
                <w:rFonts w:hint="eastAsia"/>
                <w:szCs w:val="21"/>
              </w:rPr>
              <w:t>TMT</w:t>
            </w:r>
            <w:r w:rsidR="00EA6B82" w:rsidRPr="005C068C">
              <w:rPr>
                <w:rFonts w:hint="eastAsia"/>
                <w:szCs w:val="21"/>
              </w:rPr>
              <w:t>中证</w:t>
            </w:r>
            <w:r w:rsidR="00EA6B82" w:rsidRPr="005C068C">
              <w:rPr>
                <w:rFonts w:hint="eastAsia"/>
                <w:szCs w:val="21"/>
              </w:rPr>
              <w:t>B</w:t>
            </w:r>
            <w:r w:rsidR="00807904" w:rsidRPr="005C068C">
              <w:rPr>
                <w:rFonts w:cs="Calibri" w:hint="eastAsia"/>
                <w:color w:val="000000"/>
                <w:szCs w:val="21"/>
              </w:rPr>
              <w:t>份额</w:t>
            </w:r>
          </w:p>
        </w:tc>
      </w:tr>
    </w:tbl>
    <w:p w:rsidR="00C34B5A" w:rsidRPr="001952B6" w:rsidRDefault="00C34B5A" w:rsidP="005608D1">
      <w:pPr>
        <w:spacing w:line="360" w:lineRule="auto"/>
        <w:rPr>
          <w:szCs w:val="21"/>
        </w:rPr>
      </w:pPr>
    </w:p>
    <w:p w:rsidR="00C34B5A" w:rsidRPr="001952B6" w:rsidRDefault="00E67D3C" w:rsidP="008A1BF3">
      <w:pPr>
        <w:spacing w:line="360" w:lineRule="auto"/>
        <w:ind w:firstLine="403"/>
        <w:outlineLvl w:val="0"/>
        <w:rPr>
          <w:szCs w:val="21"/>
        </w:rPr>
      </w:pPr>
      <w:r w:rsidRPr="001952B6">
        <w:rPr>
          <w:rFonts w:hint="eastAsia"/>
          <w:szCs w:val="21"/>
        </w:rPr>
        <w:t>四</w:t>
      </w:r>
      <w:r w:rsidR="00C34B5A" w:rsidRPr="001952B6">
        <w:rPr>
          <w:rFonts w:hint="eastAsia"/>
          <w:szCs w:val="21"/>
        </w:rPr>
        <w:t>、基金份额折算期间的基金业务办理</w:t>
      </w:r>
    </w:p>
    <w:p w:rsidR="00C34B5A" w:rsidRPr="001952B6" w:rsidRDefault="00C34B5A" w:rsidP="00986499">
      <w:pPr>
        <w:spacing w:line="360" w:lineRule="auto"/>
        <w:ind w:firstLine="403"/>
        <w:rPr>
          <w:szCs w:val="21"/>
        </w:rPr>
      </w:pPr>
      <w:r w:rsidRPr="001952B6">
        <w:rPr>
          <w:rFonts w:hint="eastAsia"/>
          <w:szCs w:val="21"/>
        </w:rPr>
        <w:t>（一）不定期份额折算基准日（即</w:t>
      </w:r>
      <w:r w:rsidR="0089264D" w:rsidRPr="001952B6">
        <w:rPr>
          <w:rFonts w:hint="eastAsia"/>
          <w:szCs w:val="21"/>
        </w:rPr>
        <w:t>2015</w:t>
      </w:r>
      <w:r w:rsidR="0089264D" w:rsidRPr="001952B6">
        <w:rPr>
          <w:rFonts w:hint="eastAsia"/>
          <w:szCs w:val="21"/>
        </w:rPr>
        <w:t>年</w:t>
      </w:r>
      <w:r w:rsidR="00CC78CB">
        <w:rPr>
          <w:rFonts w:hint="eastAsia"/>
          <w:szCs w:val="21"/>
        </w:rPr>
        <w:t>7</w:t>
      </w:r>
      <w:r w:rsidR="0089264D" w:rsidRPr="001952B6">
        <w:rPr>
          <w:rFonts w:hint="eastAsia"/>
          <w:szCs w:val="21"/>
        </w:rPr>
        <w:t>月</w:t>
      </w:r>
      <w:r w:rsidR="008A1BF3">
        <w:rPr>
          <w:rFonts w:hint="eastAsia"/>
          <w:szCs w:val="21"/>
        </w:rPr>
        <w:t>6</w:t>
      </w:r>
      <w:r w:rsidR="0089264D" w:rsidRPr="001952B6">
        <w:rPr>
          <w:rFonts w:hint="eastAsia"/>
          <w:szCs w:val="21"/>
        </w:rPr>
        <w:t>日</w:t>
      </w:r>
      <w:r w:rsidRPr="001952B6">
        <w:rPr>
          <w:rFonts w:hint="eastAsia"/>
          <w:szCs w:val="21"/>
        </w:rPr>
        <w:t>），本基金暂停办理申购（含定期定额投资）、赎回、</w:t>
      </w:r>
      <w:r w:rsidR="0089264D" w:rsidRPr="001952B6">
        <w:rPr>
          <w:rFonts w:hint="eastAsia"/>
          <w:szCs w:val="21"/>
        </w:rPr>
        <w:t>转换、</w:t>
      </w:r>
      <w:r w:rsidRPr="001952B6">
        <w:rPr>
          <w:rFonts w:hint="eastAsia"/>
          <w:szCs w:val="21"/>
        </w:rPr>
        <w:t>转托管、配对转换业务</w:t>
      </w:r>
      <w:r w:rsidR="00765DFC" w:rsidRPr="001952B6">
        <w:rPr>
          <w:rFonts w:hint="eastAsia"/>
          <w:szCs w:val="21"/>
        </w:rPr>
        <w:t>；</w:t>
      </w:r>
      <w:r w:rsidR="0089264D" w:rsidRPr="001952B6">
        <w:rPr>
          <w:rFonts w:hint="eastAsia"/>
          <w:szCs w:val="21"/>
        </w:rPr>
        <w:t>TMT</w:t>
      </w:r>
      <w:r w:rsidR="0089264D" w:rsidRPr="001952B6">
        <w:rPr>
          <w:rFonts w:hint="eastAsia"/>
          <w:szCs w:val="21"/>
        </w:rPr>
        <w:t>中证</w:t>
      </w:r>
      <w:r w:rsidR="0089264D" w:rsidRPr="001952B6">
        <w:rPr>
          <w:rFonts w:hint="eastAsia"/>
          <w:szCs w:val="21"/>
        </w:rPr>
        <w:t>A</w:t>
      </w:r>
      <w:r w:rsidR="00765DFC" w:rsidRPr="001952B6">
        <w:rPr>
          <w:rFonts w:hint="eastAsia"/>
          <w:szCs w:val="21"/>
        </w:rPr>
        <w:t>和</w:t>
      </w:r>
      <w:r w:rsidR="0089264D" w:rsidRPr="001952B6">
        <w:rPr>
          <w:rFonts w:hint="eastAsia"/>
          <w:szCs w:val="21"/>
        </w:rPr>
        <w:t>TMT</w:t>
      </w:r>
      <w:r w:rsidR="0089264D" w:rsidRPr="001952B6">
        <w:rPr>
          <w:rFonts w:hint="eastAsia"/>
          <w:szCs w:val="21"/>
        </w:rPr>
        <w:t>中证</w:t>
      </w:r>
      <w:r w:rsidR="0089264D" w:rsidRPr="001952B6">
        <w:rPr>
          <w:rFonts w:hint="eastAsia"/>
          <w:szCs w:val="21"/>
        </w:rPr>
        <w:t>B</w:t>
      </w:r>
      <w:r w:rsidR="00897093">
        <w:rPr>
          <w:rFonts w:hint="eastAsia"/>
          <w:szCs w:val="21"/>
        </w:rPr>
        <w:t>将</w:t>
      </w:r>
      <w:r w:rsidR="00437728" w:rsidRPr="00A131BA">
        <w:rPr>
          <w:rFonts w:hint="eastAsia"/>
          <w:szCs w:val="21"/>
        </w:rPr>
        <w:t>于</w:t>
      </w:r>
      <w:r w:rsidR="00437728" w:rsidRPr="00A131BA">
        <w:rPr>
          <w:szCs w:val="21"/>
        </w:rPr>
        <w:t>2015</w:t>
      </w:r>
      <w:r w:rsidR="00437728" w:rsidRPr="00A131BA">
        <w:rPr>
          <w:rFonts w:hint="eastAsia"/>
          <w:szCs w:val="21"/>
        </w:rPr>
        <w:t>年</w:t>
      </w:r>
      <w:r w:rsidR="00CC78CB">
        <w:rPr>
          <w:rFonts w:hint="eastAsia"/>
          <w:szCs w:val="21"/>
        </w:rPr>
        <w:t>7</w:t>
      </w:r>
      <w:r w:rsidR="00437728" w:rsidRPr="00A131BA">
        <w:rPr>
          <w:rFonts w:hint="eastAsia"/>
          <w:szCs w:val="21"/>
        </w:rPr>
        <w:t>月</w:t>
      </w:r>
      <w:r w:rsidR="008A1BF3">
        <w:rPr>
          <w:rFonts w:hint="eastAsia"/>
          <w:szCs w:val="21"/>
        </w:rPr>
        <w:t>6</w:t>
      </w:r>
      <w:r w:rsidR="00437728" w:rsidRPr="00A131BA">
        <w:rPr>
          <w:rFonts w:hint="eastAsia"/>
          <w:szCs w:val="21"/>
        </w:rPr>
        <w:t>日上午</w:t>
      </w:r>
      <w:r w:rsidR="00437728" w:rsidRPr="00A131BA">
        <w:rPr>
          <w:szCs w:val="21"/>
        </w:rPr>
        <w:t>9:30-10:30</w:t>
      </w:r>
      <w:r w:rsidR="00437728" w:rsidRPr="00A131BA">
        <w:rPr>
          <w:rFonts w:hint="eastAsia"/>
          <w:szCs w:val="21"/>
        </w:rPr>
        <w:t>停牌一小时，并于</w:t>
      </w:r>
      <w:r w:rsidR="00437728" w:rsidRPr="00A131BA">
        <w:rPr>
          <w:szCs w:val="21"/>
        </w:rPr>
        <w:t>2015</w:t>
      </w:r>
      <w:r w:rsidR="00437728" w:rsidRPr="00A131BA">
        <w:rPr>
          <w:rFonts w:hint="eastAsia"/>
          <w:szCs w:val="21"/>
        </w:rPr>
        <w:t>年</w:t>
      </w:r>
      <w:r w:rsidR="00CC78CB">
        <w:rPr>
          <w:rFonts w:hint="eastAsia"/>
          <w:szCs w:val="21"/>
        </w:rPr>
        <w:t>7</w:t>
      </w:r>
      <w:r w:rsidR="00437728" w:rsidRPr="00A131BA">
        <w:rPr>
          <w:rFonts w:hint="eastAsia"/>
          <w:szCs w:val="21"/>
        </w:rPr>
        <w:t>月</w:t>
      </w:r>
      <w:r w:rsidR="008A1BF3">
        <w:rPr>
          <w:rFonts w:hint="eastAsia"/>
          <w:szCs w:val="21"/>
        </w:rPr>
        <w:t>6</w:t>
      </w:r>
      <w:r w:rsidR="00437728" w:rsidRPr="00A131BA">
        <w:rPr>
          <w:rFonts w:hint="eastAsia"/>
          <w:szCs w:val="21"/>
        </w:rPr>
        <w:t>日</w:t>
      </w:r>
      <w:r w:rsidR="00C315D2">
        <w:rPr>
          <w:rFonts w:hint="eastAsia"/>
          <w:szCs w:val="21"/>
        </w:rPr>
        <w:t>上午</w:t>
      </w:r>
      <w:r w:rsidR="00437728" w:rsidRPr="00A131BA">
        <w:rPr>
          <w:szCs w:val="21"/>
        </w:rPr>
        <w:t>10</w:t>
      </w:r>
      <w:r w:rsidR="00437728" w:rsidRPr="00A131BA">
        <w:rPr>
          <w:rFonts w:hint="eastAsia"/>
          <w:szCs w:val="21"/>
        </w:rPr>
        <w:t>：</w:t>
      </w:r>
      <w:r w:rsidR="00437728" w:rsidRPr="00A131BA">
        <w:rPr>
          <w:szCs w:val="21"/>
        </w:rPr>
        <w:t>30</w:t>
      </w:r>
      <w:r w:rsidR="00795FEA" w:rsidRPr="001952B6">
        <w:rPr>
          <w:rFonts w:hint="eastAsia"/>
          <w:szCs w:val="21"/>
        </w:rPr>
        <w:t>复牌</w:t>
      </w:r>
      <w:r w:rsidR="00E67D3C" w:rsidRPr="001952B6">
        <w:rPr>
          <w:rFonts w:hint="eastAsia"/>
          <w:szCs w:val="21"/>
        </w:rPr>
        <w:t>。</w:t>
      </w:r>
      <w:r w:rsidRPr="001952B6">
        <w:rPr>
          <w:rFonts w:hint="eastAsia"/>
          <w:szCs w:val="21"/>
        </w:rPr>
        <w:t>当日晚间，基金管理人计算当日基金份额净值及份额折算比例。</w:t>
      </w:r>
    </w:p>
    <w:p w:rsidR="00C34B5A" w:rsidRPr="001952B6" w:rsidRDefault="00C34B5A" w:rsidP="00986499">
      <w:pPr>
        <w:spacing w:line="360" w:lineRule="auto"/>
        <w:ind w:firstLine="403"/>
        <w:rPr>
          <w:szCs w:val="21"/>
        </w:rPr>
      </w:pPr>
      <w:r w:rsidRPr="001952B6">
        <w:rPr>
          <w:rFonts w:hint="eastAsia"/>
          <w:szCs w:val="21"/>
        </w:rPr>
        <w:t>（二）不定期份额折算基准日后的第一个工作日（即</w:t>
      </w:r>
      <w:r w:rsidR="001C194D" w:rsidRPr="001952B6">
        <w:rPr>
          <w:szCs w:val="21"/>
        </w:rPr>
        <w:t>2015</w:t>
      </w:r>
      <w:r w:rsidR="001C194D" w:rsidRPr="001952B6">
        <w:rPr>
          <w:rFonts w:hint="eastAsia"/>
          <w:szCs w:val="21"/>
        </w:rPr>
        <w:t>年</w:t>
      </w:r>
      <w:r w:rsidR="00CC78CB">
        <w:rPr>
          <w:rFonts w:hint="eastAsia"/>
          <w:szCs w:val="21"/>
        </w:rPr>
        <w:t>7</w:t>
      </w:r>
      <w:r w:rsidR="001C194D" w:rsidRPr="001952B6">
        <w:rPr>
          <w:rFonts w:hint="eastAsia"/>
          <w:szCs w:val="21"/>
        </w:rPr>
        <w:t>月</w:t>
      </w:r>
      <w:r w:rsidR="008A1BF3">
        <w:rPr>
          <w:rFonts w:hint="eastAsia"/>
          <w:szCs w:val="21"/>
        </w:rPr>
        <w:t>7</w:t>
      </w:r>
      <w:r w:rsidR="001C194D" w:rsidRPr="001952B6">
        <w:rPr>
          <w:rFonts w:hint="eastAsia"/>
          <w:szCs w:val="21"/>
        </w:rPr>
        <w:t>日</w:t>
      </w:r>
      <w:r w:rsidRPr="001952B6">
        <w:rPr>
          <w:rFonts w:hint="eastAsia"/>
          <w:szCs w:val="21"/>
        </w:rPr>
        <w:t>），本基金暂停办理申购（含定期定额投资）、赎回、</w:t>
      </w:r>
      <w:r w:rsidR="001C194D" w:rsidRPr="001952B6">
        <w:rPr>
          <w:rFonts w:hint="eastAsia"/>
          <w:szCs w:val="21"/>
        </w:rPr>
        <w:t>转换、</w:t>
      </w:r>
      <w:r w:rsidRPr="001952B6">
        <w:rPr>
          <w:rFonts w:hint="eastAsia"/>
          <w:szCs w:val="21"/>
        </w:rPr>
        <w:t>转托管、配对转换业务</w:t>
      </w:r>
      <w:r w:rsidRPr="001952B6">
        <w:rPr>
          <w:szCs w:val="21"/>
        </w:rPr>
        <w:t xml:space="preserve">, </w:t>
      </w:r>
      <w:r w:rsidR="001C194D" w:rsidRPr="001952B6">
        <w:rPr>
          <w:rFonts w:hint="eastAsia"/>
          <w:szCs w:val="21"/>
        </w:rPr>
        <w:t>TMT</w:t>
      </w:r>
      <w:r w:rsidR="001C194D" w:rsidRPr="001952B6">
        <w:rPr>
          <w:rFonts w:hint="eastAsia"/>
          <w:szCs w:val="21"/>
        </w:rPr>
        <w:t>中证</w:t>
      </w:r>
      <w:r w:rsidR="001C194D" w:rsidRPr="001952B6">
        <w:rPr>
          <w:rFonts w:hint="eastAsia"/>
          <w:szCs w:val="21"/>
        </w:rPr>
        <w:t>A</w:t>
      </w:r>
      <w:r w:rsidR="00E67D3C" w:rsidRPr="001952B6">
        <w:rPr>
          <w:rFonts w:hint="eastAsia"/>
          <w:szCs w:val="21"/>
        </w:rPr>
        <w:t>、</w:t>
      </w:r>
      <w:r w:rsidR="001C194D" w:rsidRPr="001952B6">
        <w:rPr>
          <w:rFonts w:hint="eastAsia"/>
          <w:szCs w:val="21"/>
        </w:rPr>
        <w:t>TMT</w:t>
      </w:r>
      <w:r w:rsidR="001C194D" w:rsidRPr="001952B6">
        <w:rPr>
          <w:rFonts w:hint="eastAsia"/>
          <w:szCs w:val="21"/>
        </w:rPr>
        <w:t>中证</w:t>
      </w:r>
      <w:r w:rsidR="001C194D" w:rsidRPr="001952B6">
        <w:rPr>
          <w:rFonts w:hint="eastAsia"/>
          <w:szCs w:val="21"/>
        </w:rPr>
        <w:t>B</w:t>
      </w:r>
      <w:r w:rsidRPr="001952B6">
        <w:rPr>
          <w:rFonts w:hint="eastAsia"/>
          <w:szCs w:val="21"/>
        </w:rPr>
        <w:t>暂停交易。当日，本基金注册登记人及基金管理人为持有人办理份额登记确认。</w:t>
      </w:r>
    </w:p>
    <w:p w:rsidR="00C34B5A" w:rsidRPr="001952B6" w:rsidRDefault="00C34B5A" w:rsidP="00986499">
      <w:pPr>
        <w:spacing w:line="360" w:lineRule="auto"/>
        <w:ind w:firstLine="403"/>
        <w:rPr>
          <w:szCs w:val="21"/>
        </w:rPr>
      </w:pPr>
      <w:r w:rsidRPr="001952B6">
        <w:rPr>
          <w:rFonts w:hint="eastAsia"/>
          <w:szCs w:val="21"/>
        </w:rPr>
        <w:t>（三）不定期份额折算基准日后的第二个工作日（即</w:t>
      </w:r>
      <w:r w:rsidR="00623951" w:rsidRPr="001952B6">
        <w:rPr>
          <w:szCs w:val="21"/>
        </w:rPr>
        <w:t>2015</w:t>
      </w:r>
      <w:r w:rsidR="00623951" w:rsidRPr="001952B6">
        <w:rPr>
          <w:rFonts w:hint="eastAsia"/>
          <w:szCs w:val="21"/>
        </w:rPr>
        <w:t>年</w:t>
      </w:r>
      <w:r w:rsidR="00CC78CB">
        <w:rPr>
          <w:rFonts w:hint="eastAsia"/>
          <w:szCs w:val="21"/>
        </w:rPr>
        <w:t>7</w:t>
      </w:r>
      <w:r w:rsidR="00623951" w:rsidRPr="001952B6">
        <w:rPr>
          <w:rFonts w:hint="eastAsia"/>
          <w:szCs w:val="21"/>
        </w:rPr>
        <w:t>月</w:t>
      </w:r>
      <w:r w:rsidR="008A1BF3">
        <w:rPr>
          <w:rFonts w:hint="eastAsia"/>
          <w:szCs w:val="21"/>
        </w:rPr>
        <w:t>8</w:t>
      </w:r>
      <w:r w:rsidR="00623951" w:rsidRPr="001952B6">
        <w:rPr>
          <w:rFonts w:hint="eastAsia"/>
          <w:szCs w:val="21"/>
        </w:rPr>
        <w:t>日</w:t>
      </w:r>
      <w:r w:rsidRPr="001952B6">
        <w:rPr>
          <w:rFonts w:hint="eastAsia"/>
          <w:szCs w:val="21"/>
        </w:rPr>
        <w:t>），基金管理人将公告份额折算确认结果，持有人可以查询其账户内的基金份额。当日，本基金恢复办理申购（含定期定额投资）、赎回、</w:t>
      </w:r>
      <w:r w:rsidR="00623951" w:rsidRPr="001952B6">
        <w:rPr>
          <w:rFonts w:hint="eastAsia"/>
          <w:szCs w:val="21"/>
        </w:rPr>
        <w:t>转换、</w:t>
      </w:r>
      <w:r w:rsidRPr="001952B6">
        <w:rPr>
          <w:rFonts w:hint="eastAsia"/>
          <w:szCs w:val="21"/>
        </w:rPr>
        <w:t>转托管、配对转换业务，</w:t>
      </w:r>
      <w:r w:rsidR="00623951" w:rsidRPr="001952B6">
        <w:rPr>
          <w:rFonts w:hint="eastAsia"/>
          <w:szCs w:val="21"/>
        </w:rPr>
        <w:t>TMT</w:t>
      </w:r>
      <w:r w:rsidR="00623951" w:rsidRPr="001952B6">
        <w:rPr>
          <w:rFonts w:hint="eastAsia"/>
          <w:szCs w:val="21"/>
        </w:rPr>
        <w:t>中证</w:t>
      </w:r>
      <w:r w:rsidR="00623951" w:rsidRPr="001952B6">
        <w:rPr>
          <w:rFonts w:hint="eastAsia"/>
          <w:szCs w:val="21"/>
        </w:rPr>
        <w:t>A</w:t>
      </w:r>
      <w:r w:rsidR="00E67D3C" w:rsidRPr="001952B6">
        <w:rPr>
          <w:rFonts w:hint="eastAsia"/>
          <w:szCs w:val="21"/>
        </w:rPr>
        <w:t>、</w:t>
      </w:r>
      <w:r w:rsidR="00623951" w:rsidRPr="001952B6">
        <w:rPr>
          <w:rFonts w:hint="eastAsia"/>
          <w:szCs w:val="21"/>
        </w:rPr>
        <w:t>TMT</w:t>
      </w:r>
      <w:r w:rsidR="00623951" w:rsidRPr="001952B6">
        <w:rPr>
          <w:rFonts w:hint="eastAsia"/>
          <w:szCs w:val="21"/>
        </w:rPr>
        <w:t>中证</w:t>
      </w:r>
      <w:r w:rsidR="00623951" w:rsidRPr="001952B6">
        <w:rPr>
          <w:rFonts w:hint="eastAsia"/>
          <w:szCs w:val="21"/>
        </w:rPr>
        <w:t>B</w:t>
      </w:r>
      <w:r w:rsidRPr="001952B6">
        <w:rPr>
          <w:rFonts w:hint="eastAsia"/>
          <w:szCs w:val="21"/>
        </w:rPr>
        <w:t>将于</w:t>
      </w:r>
      <w:r w:rsidR="00623951" w:rsidRPr="001952B6">
        <w:rPr>
          <w:szCs w:val="21"/>
        </w:rPr>
        <w:t>2015</w:t>
      </w:r>
      <w:r w:rsidR="00623951" w:rsidRPr="001952B6">
        <w:rPr>
          <w:rFonts w:hint="eastAsia"/>
          <w:szCs w:val="21"/>
        </w:rPr>
        <w:t>年</w:t>
      </w:r>
      <w:r w:rsidR="00CC78CB">
        <w:rPr>
          <w:rFonts w:hint="eastAsia"/>
          <w:szCs w:val="21"/>
        </w:rPr>
        <w:t>7</w:t>
      </w:r>
      <w:r w:rsidR="00623951" w:rsidRPr="001952B6">
        <w:rPr>
          <w:rFonts w:hint="eastAsia"/>
          <w:szCs w:val="21"/>
        </w:rPr>
        <w:t>月</w:t>
      </w:r>
      <w:r w:rsidR="008A1BF3">
        <w:rPr>
          <w:rFonts w:hint="eastAsia"/>
          <w:szCs w:val="21"/>
        </w:rPr>
        <w:t>8</w:t>
      </w:r>
      <w:r w:rsidR="00623951" w:rsidRPr="001952B6">
        <w:rPr>
          <w:rFonts w:hint="eastAsia"/>
          <w:szCs w:val="21"/>
        </w:rPr>
        <w:t>日</w:t>
      </w:r>
      <w:r w:rsidRPr="001952B6">
        <w:rPr>
          <w:rFonts w:hint="eastAsia"/>
          <w:szCs w:val="21"/>
        </w:rPr>
        <w:t>上午</w:t>
      </w:r>
      <w:r w:rsidRPr="001952B6">
        <w:rPr>
          <w:szCs w:val="21"/>
        </w:rPr>
        <w:t>9:30-10:30</w:t>
      </w:r>
      <w:r w:rsidRPr="001952B6">
        <w:rPr>
          <w:rFonts w:hint="eastAsia"/>
          <w:szCs w:val="21"/>
        </w:rPr>
        <w:t>停牌一小时，并于</w:t>
      </w:r>
      <w:r w:rsidR="00623951" w:rsidRPr="001952B6">
        <w:rPr>
          <w:rFonts w:hint="eastAsia"/>
          <w:szCs w:val="21"/>
        </w:rPr>
        <w:t>2015</w:t>
      </w:r>
      <w:r w:rsidR="00623951" w:rsidRPr="001952B6">
        <w:rPr>
          <w:rFonts w:hint="eastAsia"/>
          <w:szCs w:val="21"/>
        </w:rPr>
        <w:t>年</w:t>
      </w:r>
      <w:r w:rsidR="00CC78CB">
        <w:rPr>
          <w:rFonts w:hint="eastAsia"/>
          <w:szCs w:val="21"/>
        </w:rPr>
        <w:t>7</w:t>
      </w:r>
      <w:r w:rsidR="00623951" w:rsidRPr="001952B6">
        <w:rPr>
          <w:rFonts w:hint="eastAsia"/>
          <w:szCs w:val="21"/>
        </w:rPr>
        <w:t>月</w:t>
      </w:r>
      <w:r w:rsidR="008A1BF3">
        <w:rPr>
          <w:rFonts w:hint="eastAsia"/>
          <w:szCs w:val="21"/>
        </w:rPr>
        <w:t>8</w:t>
      </w:r>
      <w:r w:rsidR="00623951" w:rsidRPr="001952B6">
        <w:rPr>
          <w:rFonts w:hint="eastAsia"/>
          <w:szCs w:val="21"/>
        </w:rPr>
        <w:t>日</w:t>
      </w:r>
      <w:r w:rsidRPr="001952B6">
        <w:rPr>
          <w:rFonts w:hint="eastAsia"/>
          <w:szCs w:val="21"/>
        </w:rPr>
        <w:t>上午</w:t>
      </w:r>
      <w:r w:rsidRPr="001952B6">
        <w:rPr>
          <w:szCs w:val="21"/>
        </w:rPr>
        <w:t>10:30</w:t>
      </w:r>
      <w:r w:rsidRPr="001952B6">
        <w:rPr>
          <w:rFonts w:hint="eastAsia"/>
          <w:szCs w:val="21"/>
        </w:rPr>
        <w:t>复牌。</w:t>
      </w:r>
    </w:p>
    <w:p w:rsidR="00C34B5A" w:rsidRPr="001952B6" w:rsidRDefault="00C34B5A" w:rsidP="00986499">
      <w:pPr>
        <w:spacing w:line="360" w:lineRule="auto"/>
        <w:ind w:firstLine="403"/>
        <w:rPr>
          <w:szCs w:val="21"/>
        </w:rPr>
      </w:pPr>
      <w:r w:rsidRPr="001952B6">
        <w:rPr>
          <w:rFonts w:hint="eastAsia"/>
          <w:szCs w:val="21"/>
        </w:rPr>
        <w:t>（四）</w:t>
      </w:r>
      <w:r w:rsidR="00D32A89" w:rsidRPr="001952B6">
        <w:rPr>
          <w:rFonts w:hint="eastAsia"/>
          <w:szCs w:val="21"/>
        </w:rPr>
        <w:t>根据</w:t>
      </w:r>
      <w:r w:rsidR="005839E8" w:rsidRPr="001952B6">
        <w:rPr>
          <w:rFonts w:hint="eastAsia"/>
          <w:szCs w:val="21"/>
        </w:rPr>
        <w:t>《</w:t>
      </w:r>
      <w:r w:rsidR="00D32A89" w:rsidRPr="001952B6">
        <w:rPr>
          <w:rFonts w:hint="eastAsia"/>
          <w:szCs w:val="21"/>
        </w:rPr>
        <w:t>深圳证券交易所证券投资基金交易和申购赎回实施细则》</w:t>
      </w:r>
      <w:r w:rsidR="00D269F9" w:rsidRPr="001952B6">
        <w:rPr>
          <w:rFonts w:hint="eastAsia"/>
          <w:szCs w:val="21"/>
        </w:rPr>
        <w:t>，</w:t>
      </w:r>
      <w:r w:rsidR="00623951" w:rsidRPr="001952B6">
        <w:rPr>
          <w:rFonts w:hint="eastAsia"/>
          <w:szCs w:val="21"/>
        </w:rPr>
        <w:t>2015</w:t>
      </w:r>
      <w:r w:rsidR="00623951" w:rsidRPr="001952B6">
        <w:rPr>
          <w:rFonts w:hint="eastAsia"/>
          <w:szCs w:val="21"/>
        </w:rPr>
        <w:t>年</w:t>
      </w:r>
      <w:r w:rsidR="00770197">
        <w:rPr>
          <w:rFonts w:hint="eastAsia"/>
          <w:szCs w:val="21"/>
        </w:rPr>
        <w:t>7</w:t>
      </w:r>
      <w:r w:rsidR="00623951" w:rsidRPr="001952B6">
        <w:rPr>
          <w:rFonts w:hint="eastAsia"/>
          <w:szCs w:val="21"/>
        </w:rPr>
        <w:t>月</w:t>
      </w:r>
      <w:r w:rsidR="008A1BF3">
        <w:rPr>
          <w:rFonts w:hint="eastAsia"/>
          <w:szCs w:val="21"/>
        </w:rPr>
        <w:t>8</w:t>
      </w:r>
      <w:r w:rsidR="00623951" w:rsidRPr="001952B6">
        <w:rPr>
          <w:rFonts w:hint="eastAsia"/>
          <w:szCs w:val="21"/>
        </w:rPr>
        <w:t>日</w:t>
      </w:r>
      <w:r w:rsidR="00623951" w:rsidRPr="001952B6">
        <w:rPr>
          <w:rFonts w:hint="eastAsia"/>
          <w:szCs w:val="21"/>
        </w:rPr>
        <w:t>TMT</w:t>
      </w:r>
      <w:r w:rsidR="00623951" w:rsidRPr="001952B6">
        <w:rPr>
          <w:rFonts w:hint="eastAsia"/>
          <w:szCs w:val="21"/>
        </w:rPr>
        <w:t>中证</w:t>
      </w:r>
      <w:r w:rsidR="00623951" w:rsidRPr="001952B6">
        <w:rPr>
          <w:rFonts w:hint="eastAsia"/>
          <w:szCs w:val="21"/>
        </w:rPr>
        <w:t>A</w:t>
      </w:r>
      <w:r w:rsidR="00E67D3C" w:rsidRPr="001952B6">
        <w:rPr>
          <w:rFonts w:hint="eastAsia"/>
          <w:szCs w:val="21"/>
        </w:rPr>
        <w:t>、</w:t>
      </w:r>
      <w:r w:rsidR="00623951" w:rsidRPr="001952B6">
        <w:rPr>
          <w:rFonts w:hint="eastAsia"/>
          <w:szCs w:val="21"/>
        </w:rPr>
        <w:t>TMT</w:t>
      </w:r>
      <w:r w:rsidR="00623951" w:rsidRPr="001952B6">
        <w:rPr>
          <w:rFonts w:hint="eastAsia"/>
          <w:szCs w:val="21"/>
        </w:rPr>
        <w:t>中证</w:t>
      </w:r>
      <w:r w:rsidR="00623951" w:rsidRPr="001952B6">
        <w:rPr>
          <w:rFonts w:hint="eastAsia"/>
          <w:szCs w:val="21"/>
        </w:rPr>
        <w:t>B</w:t>
      </w:r>
      <w:r w:rsidRPr="001952B6">
        <w:rPr>
          <w:rFonts w:hint="eastAsia"/>
          <w:szCs w:val="21"/>
        </w:rPr>
        <w:t>即时行情显示的前收盘价为</w:t>
      </w:r>
      <w:r w:rsidR="00623951" w:rsidRPr="001952B6">
        <w:rPr>
          <w:rFonts w:hint="eastAsia"/>
          <w:szCs w:val="21"/>
        </w:rPr>
        <w:t>2015</w:t>
      </w:r>
      <w:r w:rsidR="00623951" w:rsidRPr="001952B6">
        <w:rPr>
          <w:rFonts w:hint="eastAsia"/>
          <w:szCs w:val="21"/>
        </w:rPr>
        <w:t>年</w:t>
      </w:r>
      <w:r w:rsidR="00CC78CB">
        <w:rPr>
          <w:rFonts w:hint="eastAsia"/>
          <w:szCs w:val="21"/>
        </w:rPr>
        <w:t>7</w:t>
      </w:r>
      <w:r w:rsidR="00623951" w:rsidRPr="001952B6">
        <w:rPr>
          <w:rFonts w:hint="eastAsia"/>
          <w:szCs w:val="21"/>
        </w:rPr>
        <w:t>月</w:t>
      </w:r>
      <w:r w:rsidR="008A1BF3">
        <w:rPr>
          <w:rFonts w:hint="eastAsia"/>
          <w:szCs w:val="21"/>
        </w:rPr>
        <w:t>7</w:t>
      </w:r>
      <w:r w:rsidR="00623951" w:rsidRPr="001952B6">
        <w:rPr>
          <w:rFonts w:hint="eastAsia"/>
          <w:szCs w:val="21"/>
        </w:rPr>
        <w:t>日</w:t>
      </w:r>
      <w:r w:rsidRPr="001952B6">
        <w:rPr>
          <w:rFonts w:hint="eastAsia"/>
          <w:szCs w:val="21"/>
        </w:rPr>
        <w:t>的</w:t>
      </w:r>
      <w:r w:rsidR="00623951" w:rsidRPr="001952B6">
        <w:rPr>
          <w:rFonts w:hint="eastAsia"/>
          <w:szCs w:val="21"/>
        </w:rPr>
        <w:t>TMT</w:t>
      </w:r>
      <w:r w:rsidR="00623951" w:rsidRPr="001952B6">
        <w:rPr>
          <w:rFonts w:hint="eastAsia"/>
          <w:szCs w:val="21"/>
        </w:rPr>
        <w:t>中证</w:t>
      </w:r>
      <w:r w:rsidR="00623951" w:rsidRPr="001952B6">
        <w:rPr>
          <w:rFonts w:hint="eastAsia"/>
          <w:szCs w:val="21"/>
        </w:rPr>
        <w:t>A</w:t>
      </w:r>
      <w:r w:rsidR="00623951" w:rsidRPr="001952B6">
        <w:rPr>
          <w:rFonts w:hint="eastAsia"/>
          <w:szCs w:val="21"/>
        </w:rPr>
        <w:t>、</w:t>
      </w:r>
      <w:r w:rsidR="00623951" w:rsidRPr="001952B6">
        <w:rPr>
          <w:rFonts w:hint="eastAsia"/>
          <w:szCs w:val="21"/>
        </w:rPr>
        <w:t>TMT</w:t>
      </w:r>
      <w:r w:rsidR="00623951" w:rsidRPr="001952B6">
        <w:rPr>
          <w:rFonts w:hint="eastAsia"/>
          <w:szCs w:val="21"/>
        </w:rPr>
        <w:t>中证</w:t>
      </w:r>
      <w:r w:rsidR="00623951" w:rsidRPr="001952B6">
        <w:rPr>
          <w:rFonts w:hint="eastAsia"/>
          <w:szCs w:val="21"/>
        </w:rPr>
        <w:t>B</w:t>
      </w:r>
      <w:r w:rsidRPr="001952B6">
        <w:rPr>
          <w:rFonts w:hint="eastAsia"/>
          <w:szCs w:val="21"/>
        </w:rPr>
        <w:t>的基金份额参考净值</w:t>
      </w:r>
      <w:r w:rsidRPr="001952B6">
        <w:rPr>
          <w:szCs w:val="21"/>
        </w:rPr>
        <w:t>(</w:t>
      </w:r>
      <w:r w:rsidRPr="001952B6">
        <w:rPr>
          <w:rFonts w:hint="eastAsia"/>
          <w:szCs w:val="21"/>
        </w:rPr>
        <w:t>四舍五入至</w:t>
      </w:r>
      <w:r w:rsidRPr="001952B6">
        <w:rPr>
          <w:szCs w:val="21"/>
        </w:rPr>
        <w:t>0.001</w:t>
      </w:r>
      <w:r w:rsidRPr="001952B6">
        <w:rPr>
          <w:rFonts w:hint="eastAsia"/>
          <w:szCs w:val="21"/>
        </w:rPr>
        <w:t>元</w:t>
      </w:r>
      <w:r w:rsidRPr="001952B6">
        <w:rPr>
          <w:szCs w:val="21"/>
        </w:rPr>
        <w:t>)</w:t>
      </w:r>
      <w:r w:rsidR="00835A73" w:rsidRPr="001952B6">
        <w:rPr>
          <w:rFonts w:hint="eastAsia"/>
          <w:szCs w:val="21"/>
        </w:rPr>
        <w:t>，</w:t>
      </w:r>
      <w:r w:rsidR="00623951" w:rsidRPr="001952B6">
        <w:rPr>
          <w:rFonts w:hint="eastAsia"/>
          <w:szCs w:val="21"/>
        </w:rPr>
        <w:t>2015</w:t>
      </w:r>
      <w:r w:rsidR="00623951" w:rsidRPr="001952B6">
        <w:rPr>
          <w:rFonts w:hint="eastAsia"/>
          <w:szCs w:val="21"/>
        </w:rPr>
        <w:t>年</w:t>
      </w:r>
      <w:r w:rsidR="00CC78CB">
        <w:rPr>
          <w:rFonts w:hint="eastAsia"/>
          <w:szCs w:val="21"/>
        </w:rPr>
        <w:t>7</w:t>
      </w:r>
      <w:r w:rsidR="00623951" w:rsidRPr="001952B6">
        <w:rPr>
          <w:rFonts w:hint="eastAsia"/>
          <w:szCs w:val="21"/>
        </w:rPr>
        <w:t>月</w:t>
      </w:r>
      <w:r w:rsidR="008A1BF3">
        <w:rPr>
          <w:rFonts w:hint="eastAsia"/>
          <w:szCs w:val="21"/>
        </w:rPr>
        <w:t>8</w:t>
      </w:r>
      <w:r w:rsidR="00623951" w:rsidRPr="001952B6">
        <w:rPr>
          <w:rFonts w:hint="eastAsia"/>
          <w:szCs w:val="21"/>
        </w:rPr>
        <w:t>日</w:t>
      </w:r>
      <w:r w:rsidRPr="001952B6">
        <w:rPr>
          <w:rFonts w:hint="eastAsia"/>
          <w:szCs w:val="21"/>
        </w:rPr>
        <w:t>当日</w:t>
      </w:r>
      <w:r w:rsidR="00623951" w:rsidRPr="001952B6">
        <w:rPr>
          <w:rFonts w:hint="eastAsia"/>
          <w:szCs w:val="21"/>
        </w:rPr>
        <w:t>TMT</w:t>
      </w:r>
      <w:r w:rsidR="00623951" w:rsidRPr="001952B6">
        <w:rPr>
          <w:rFonts w:hint="eastAsia"/>
          <w:szCs w:val="21"/>
        </w:rPr>
        <w:t>中证</w:t>
      </w:r>
      <w:r w:rsidR="00623951" w:rsidRPr="001952B6">
        <w:rPr>
          <w:rFonts w:hint="eastAsia"/>
          <w:szCs w:val="21"/>
        </w:rPr>
        <w:t>A</w:t>
      </w:r>
      <w:r w:rsidR="00623951" w:rsidRPr="001952B6">
        <w:rPr>
          <w:rFonts w:hint="eastAsia"/>
          <w:szCs w:val="21"/>
        </w:rPr>
        <w:t>、</w:t>
      </w:r>
      <w:r w:rsidR="00623951" w:rsidRPr="001952B6">
        <w:rPr>
          <w:rFonts w:hint="eastAsia"/>
          <w:szCs w:val="21"/>
        </w:rPr>
        <w:t>TMT</w:t>
      </w:r>
      <w:r w:rsidR="00623951" w:rsidRPr="001952B6">
        <w:rPr>
          <w:rFonts w:hint="eastAsia"/>
          <w:szCs w:val="21"/>
        </w:rPr>
        <w:t>中证</w:t>
      </w:r>
      <w:r w:rsidR="00623951" w:rsidRPr="001952B6">
        <w:rPr>
          <w:rFonts w:hint="eastAsia"/>
          <w:szCs w:val="21"/>
        </w:rPr>
        <w:t>B</w:t>
      </w:r>
      <w:r w:rsidR="00583086" w:rsidRPr="001952B6">
        <w:rPr>
          <w:rFonts w:hint="eastAsia"/>
          <w:szCs w:val="21"/>
        </w:rPr>
        <w:t>份额</w:t>
      </w:r>
      <w:r w:rsidRPr="001952B6">
        <w:rPr>
          <w:rFonts w:hint="eastAsia"/>
          <w:szCs w:val="21"/>
        </w:rPr>
        <w:t>均可能出现交易价格大幅波动的情形。敬请投资者注意投资风险。</w:t>
      </w:r>
    </w:p>
    <w:p w:rsidR="009662D5" w:rsidRPr="001952B6" w:rsidRDefault="009662D5" w:rsidP="00986499">
      <w:pPr>
        <w:spacing w:line="360" w:lineRule="auto"/>
        <w:ind w:firstLine="403"/>
        <w:rPr>
          <w:szCs w:val="21"/>
        </w:rPr>
      </w:pPr>
    </w:p>
    <w:p w:rsidR="00C34B5A" w:rsidRPr="001952B6" w:rsidRDefault="00C34B5A" w:rsidP="00986499">
      <w:pPr>
        <w:spacing w:line="360" w:lineRule="auto"/>
        <w:ind w:firstLine="403"/>
        <w:rPr>
          <w:szCs w:val="21"/>
        </w:rPr>
      </w:pPr>
      <w:r w:rsidRPr="001952B6">
        <w:rPr>
          <w:rFonts w:hint="eastAsia"/>
          <w:szCs w:val="21"/>
        </w:rPr>
        <w:t>五、重要提示</w:t>
      </w:r>
    </w:p>
    <w:p w:rsidR="00974F50" w:rsidRDefault="00C34B5A" w:rsidP="00986499">
      <w:pPr>
        <w:spacing w:line="360" w:lineRule="auto"/>
        <w:ind w:firstLine="403"/>
        <w:rPr>
          <w:szCs w:val="21"/>
        </w:rPr>
      </w:pPr>
      <w:r w:rsidRPr="001952B6">
        <w:rPr>
          <w:szCs w:val="21"/>
        </w:rPr>
        <w:t>1</w:t>
      </w:r>
      <w:r w:rsidRPr="001952B6">
        <w:rPr>
          <w:rFonts w:hint="eastAsia"/>
          <w:szCs w:val="21"/>
        </w:rPr>
        <w:t>、本基金</w:t>
      </w:r>
      <w:r w:rsidR="00623951" w:rsidRPr="001952B6">
        <w:rPr>
          <w:rFonts w:hint="eastAsia"/>
          <w:szCs w:val="21"/>
        </w:rPr>
        <w:t>TMT</w:t>
      </w:r>
      <w:r w:rsidR="00623951" w:rsidRPr="001952B6">
        <w:rPr>
          <w:rFonts w:hint="eastAsia"/>
          <w:szCs w:val="21"/>
        </w:rPr>
        <w:t>中证</w:t>
      </w:r>
      <w:r w:rsidR="00623951" w:rsidRPr="001952B6">
        <w:rPr>
          <w:rFonts w:hint="eastAsia"/>
          <w:szCs w:val="21"/>
        </w:rPr>
        <w:t>A</w:t>
      </w:r>
      <w:r w:rsidR="00623951" w:rsidRPr="001952B6">
        <w:rPr>
          <w:rFonts w:hint="eastAsia"/>
          <w:szCs w:val="21"/>
        </w:rPr>
        <w:t>、</w:t>
      </w:r>
      <w:r w:rsidR="00623951" w:rsidRPr="001952B6">
        <w:rPr>
          <w:rFonts w:hint="eastAsia"/>
          <w:szCs w:val="21"/>
        </w:rPr>
        <w:t>TMT</w:t>
      </w:r>
      <w:r w:rsidR="00623951" w:rsidRPr="001952B6">
        <w:rPr>
          <w:rFonts w:hint="eastAsia"/>
          <w:szCs w:val="21"/>
        </w:rPr>
        <w:t>中证</w:t>
      </w:r>
      <w:r w:rsidR="00623951" w:rsidRPr="001952B6">
        <w:rPr>
          <w:rFonts w:hint="eastAsia"/>
          <w:szCs w:val="21"/>
        </w:rPr>
        <w:t>B</w:t>
      </w:r>
      <w:r w:rsidR="00610856" w:rsidRPr="001952B6">
        <w:rPr>
          <w:rFonts w:hint="eastAsia"/>
          <w:szCs w:val="21"/>
        </w:rPr>
        <w:t>将</w:t>
      </w:r>
      <w:r w:rsidR="00610856" w:rsidRPr="001952B6">
        <w:rPr>
          <w:szCs w:val="21"/>
        </w:rPr>
        <w:t>于</w:t>
      </w:r>
      <w:r w:rsidR="00656A6A" w:rsidRPr="00A131BA">
        <w:rPr>
          <w:rFonts w:hint="eastAsia"/>
          <w:szCs w:val="21"/>
        </w:rPr>
        <w:t>201</w:t>
      </w:r>
      <w:r w:rsidR="00656A6A">
        <w:rPr>
          <w:rFonts w:hint="eastAsia"/>
          <w:szCs w:val="21"/>
        </w:rPr>
        <w:t>5</w:t>
      </w:r>
      <w:r w:rsidR="00656A6A" w:rsidRPr="00A131BA">
        <w:rPr>
          <w:rFonts w:hint="eastAsia"/>
          <w:szCs w:val="21"/>
        </w:rPr>
        <w:t>年</w:t>
      </w:r>
      <w:r w:rsidR="00CC78CB">
        <w:rPr>
          <w:rFonts w:hint="eastAsia"/>
          <w:szCs w:val="21"/>
        </w:rPr>
        <w:t>7</w:t>
      </w:r>
      <w:r w:rsidR="00656A6A" w:rsidRPr="00A131BA">
        <w:rPr>
          <w:rFonts w:hint="eastAsia"/>
          <w:szCs w:val="21"/>
        </w:rPr>
        <w:t>月</w:t>
      </w:r>
      <w:r w:rsidR="008A1BF3">
        <w:rPr>
          <w:rFonts w:hint="eastAsia"/>
          <w:szCs w:val="21"/>
        </w:rPr>
        <w:t>6</w:t>
      </w:r>
      <w:r w:rsidR="00656A6A" w:rsidRPr="00A131BA">
        <w:rPr>
          <w:rFonts w:hint="eastAsia"/>
          <w:szCs w:val="21"/>
        </w:rPr>
        <w:t>日上午</w:t>
      </w:r>
      <w:r w:rsidR="00656A6A" w:rsidRPr="00A131BA">
        <w:rPr>
          <w:rFonts w:hint="eastAsia"/>
          <w:szCs w:val="21"/>
        </w:rPr>
        <w:t>9:30</w:t>
      </w:r>
      <w:r w:rsidR="00656A6A" w:rsidRPr="00A131BA">
        <w:rPr>
          <w:rFonts w:hint="eastAsia"/>
          <w:szCs w:val="21"/>
        </w:rPr>
        <w:t>至</w:t>
      </w:r>
      <w:r w:rsidR="00656A6A" w:rsidRPr="00A131BA">
        <w:rPr>
          <w:rFonts w:hint="eastAsia"/>
          <w:szCs w:val="21"/>
        </w:rPr>
        <w:t>10:30</w:t>
      </w:r>
      <w:r w:rsidR="00656A6A" w:rsidRPr="00A131BA">
        <w:rPr>
          <w:rFonts w:hint="eastAsia"/>
          <w:szCs w:val="21"/>
        </w:rPr>
        <w:t>停牌一小时</w:t>
      </w:r>
      <w:r w:rsidR="008F426D">
        <w:rPr>
          <w:rFonts w:hint="eastAsia"/>
          <w:szCs w:val="21"/>
        </w:rPr>
        <w:t>，</w:t>
      </w:r>
      <w:r w:rsidR="00EC5B1D" w:rsidRPr="00A131BA">
        <w:rPr>
          <w:rFonts w:hint="eastAsia"/>
          <w:szCs w:val="21"/>
        </w:rPr>
        <w:t>并于</w:t>
      </w:r>
      <w:r w:rsidR="00EC5B1D" w:rsidRPr="00A131BA">
        <w:rPr>
          <w:szCs w:val="21"/>
        </w:rPr>
        <w:t>2015</w:t>
      </w:r>
      <w:r w:rsidR="00EC5B1D" w:rsidRPr="00A131BA">
        <w:rPr>
          <w:rFonts w:hint="eastAsia"/>
          <w:szCs w:val="21"/>
        </w:rPr>
        <w:t>年</w:t>
      </w:r>
      <w:r w:rsidR="00CC78CB">
        <w:rPr>
          <w:rFonts w:hint="eastAsia"/>
          <w:szCs w:val="21"/>
        </w:rPr>
        <w:t>7</w:t>
      </w:r>
      <w:r w:rsidR="00EC5B1D" w:rsidRPr="00A131BA">
        <w:rPr>
          <w:rFonts w:hint="eastAsia"/>
          <w:szCs w:val="21"/>
        </w:rPr>
        <w:t>月</w:t>
      </w:r>
      <w:r w:rsidR="008A1BF3">
        <w:rPr>
          <w:rFonts w:hint="eastAsia"/>
          <w:szCs w:val="21"/>
        </w:rPr>
        <w:t>6</w:t>
      </w:r>
      <w:r w:rsidR="00EC5B1D" w:rsidRPr="00A131BA">
        <w:rPr>
          <w:rFonts w:hint="eastAsia"/>
          <w:szCs w:val="21"/>
        </w:rPr>
        <w:t>日上午</w:t>
      </w:r>
      <w:r w:rsidR="00EC5B1D" w:rsidRPr="00A131BA">
        <w:rPr>
          <w:szCs w:val="21"/>
        </w:rPr>
        <w:t>10:30</w:t>
      </w:r>
      <w:r w:rsidR="00EC5B1D" w:rsidRPr="00A131BA">
        <w:rPr>
          <w:rFonts w:hint="eastAsia"/>
          <w:szCs w:val="21"/>
        </w:rPr>
        <w:t>复牌。</w:t>
      </w:r>
      <w:r w:rsidR="00623951" w:rsidRPr="001952B6">
        <w:rPr>
          <w:rFonts w:hint="eastAsia"/>
          <w:szCs w:val="21"/>
        </w:rPr>
        <w:t>2015</w:t>
      </w:r>
      <w:r w:rsidR="00623951" w:rsidRPr="001952B6">
        <w:rPr>
          <w:rFonts w:hint="eastAsia"/>
          <w:szCs w:val="21"/>
        </w:rPr>
        <w:t>年</w:t>
      </w:r>
      <w:r w:rsidR="00CC78CB">
        <w:rPr>
          <w:rFonts w:hint="eastAsia"/>
          <w:szCs w:val="21"/>
        </w:rPr>
        <w:t>7</w:t>
      </w:r>
      <w:r w:rsidR="00623951" w:rsidRPr="001952B6">
        <w:rPr>
          <w:rFonts w:hint="eastAsia"/>
          <w:szCs w:val="21"/>
        </w:rPr>
        <w:t>月</w:t>
      </w:r>
      <w:r w:rsidR="008A1BF3">
        <w:rPr>
          <w:rFonts w:hint="eastAsia"/>
          <w:szCs w:val="21"/>
        </w:rPr>
        <w:t>7</w:t>
      </w:r>
      <w:r w:rsidR="00623951" w:rsidRPr="001952B6">
        <w:rPr>
          <w:rFonts w:hint="eastAsia"/>
          <w:szCs w:val="21"/>
        </w:rPr>
        <w:t>日</w:t>
      </w:r>
      <w:r w:rsidR="00610856" w:rsidRPr="001952B6">
        <w:rPr>
          <w:rFonts w:hint="eastAsia"/>
          <w:szCs w:val="21"/>
        </w:rPr>
        <w:t>全天</w:t>
      </w:r>
      <w:r w:rsidR="00610856" w:rsidRPr="001952B6">
        <w:rPr>
          <w:szCs w:val="21"/>
        </w:rPr>
        <w:t>暂停交易</w:t>
      </w:r>
      <w:r w:rsidR="008F426D">
        <w:rPr>
          <w:rFonts w:hint="eastAsia"/>
          <w:szCs w:val="21"/>
        </w:rPr>
        <w:t>。</w:t>
      </w:r>
    </w:p>
    <w:p w:rsidR="00C34B5A" w:rsidRPr="001952B6" w:rsidRDefault="00974F50" w:rsidP="00986499">
      <w:pPr>
        <w:spacing w:line="360" w:lineRule="auto"/>
        <w:ind w:firstLine="403"/>
        <w:rPr>
          <w:szCs w:val="21"/>
        </w:rPr>
      </w:pPr>
      <w:r w:rsidRPr="001952B6">
        <w:rPr>
          <w:rFonts w:hint="eastAsia"/>
          <w:szCs w:val="21"/>
        </w:rPr>
        <w:t>本基金</w:t>
      </w:r>
      <w:r w:rsidRPr="001952B6">
        <w:rPr>
          <w:rFonts w:hint="eastAsia"/>
          <w:szCs w:val="21"/>
        </w:rPr>
        <w:t>TMT</w:t>
      </w:r>
      <w:r w:rsidRPr="001952B6">
        <w:rPr>
          <w:rFonts w:hint="eastAsia"/>
          <w:szCs w:val="21"/>
        </w:rPr>
        <w:t>中证</w:t>
      </w:r>
      <w:r w:rsidRPr="001952B6">
        <w:rPr>
          <w:rFonts w:hint="eastAsia"/>
          <w:szCs w:val="21"/>
        </w:rPr>
        <w:t>A</w:t>
      </w:r>
      <w:r w:rsidRPr="001952B6">
        <w:rPr>
          <w:rFonts w:hint="eastAsia"/>
          <w:szCs w:val="21"/>
        </w:rPr>
        <w:t>、</w:t>
      </w:r>
      <w:r w:rsidRPr="001952B6">
        <w:rPr>
          <w:rFonts w:hint="eastAsia"/>
          <w:szCs w:val="21"/>
        </w:rPr>
        <w:t>TMT</w:t>
      </w:r>
      <w:r w:rsidRPr="001952B6">
        <w:rPr>
          <w:rFonts w:hint="eastAsia"/>
          <w:szCs w:val="21"/>
        </w:rPr>
        <w:t>中证</w:t>
      </w:r>
      <w:r w:rsidRPr="001952B6">
        <w:rPr>
          <w:rFonts w:hint="eastAsia"/>
          <w:szCs w:val="21"/>
        </w:rPr>
        <w:t>B</w:t>
      </w:r>
      <w:r w:rsidRPr="001952B6">
        <w:rPr>
          <w:rFonts w:hint="eastAsia"/>
          <w:szCs w:val="21"/>
        </w:rPr>
        <w:t>将</w:t>
      </w:r>
      <w:r w:rsidRPr="001952B6">
        <w:rPr>
          <w:szCs w:val="21"/>
        </w:rPr>
        <w:t>于</w:t>
      </w:r>
      <w:r w:rsidR="00623951" w:rsidRPr="001952B6">
        <w:rPr>
          <w:rFonts w:hint="eastAsia"/>
          <w:szCs w:val="21"/>
        </w:rPr>
        <w:t>2015</w:t>
      </w:r>
      <w:r w:rsidR="00623951" w:rsidRPr="001952B6">
        <w:rPr>
          <w:rFonts w:hint="eastAsia"/>
          <w:szCs w:val="21"/>
        </w:rPr>
        <w:t>年</w:t>
      </w:r>
      <w:r w:rsidR="00CC78CB">
        <w:rPr>
          <w:rFonts w:hint="eastAsia"/>
          <w:szCs w:val="21"/>
        </w:rPr>
        <w:t>7</w:t>
      </w:r>
      <w:r w:rsidR="00623951" w:rsidRPr="001952B6">
        <w:rPr>
          <w:rFonts w:hint="eastAsia"/>
          <w:szCs w:val="21"/>
        </w:rPr>
        <w:t>月</w:t>
      </w:r>
      <w:r w:rsidR="008A1BF3">
        <w:rPr>
          <w:rFonts w:hint="eastAsia"/>
          <w:szCs w:val="21"/>
        </w:rPr>
        <w:t>8</w:t>
      </w:r>
      <w:r w:rsidR="00623951" w:rsidRPr="001952B6">
        <w:rPr>
          <w:rFonts w:hint="eastAsia"/>
          <w:szCs w:val="21"/>
        </w:rPr>
        <w:t>日</w:t>
      </w:r>
      <w:r w:rsidR="00C34B5A" w:rsidRPr="001952B6">
        <w:rPr>
          <w:rFonts w:hint="eastAsia"/>
          <w:szCs w:val="21"/>
        </w:rPr>
        <w:t>上午</w:t>
      </w:r>
      <w:r w:rsidR="00C34B5A" w:rsidRPr="001952B6">
        <w:rPr>
          <w:szCs w:val="21"/>
        </w:rPr>
        <w:t>9:30-10:30</w:t>
      </w:r>
      <w:r w:rsidR="00C34B5A" w:rsidRPr="001952B6">
        <w:rPr>
          <w:rFonts w:hint="eastAsia"/>
          <w:szCs w:val="21"/>
        </w:rPr>
        <w:t>停牌一小时，并于</w:t>
      </w:r>
      <w:r w:rsidR="00623951" w:rsidRPr="001952B6">
        <w:rPr>
          <w:rFonts w:hint="eastAsia"/>
          <w:szCs w:val="21"/>
        </w:rPr>
        <w:t>2015</w:t>
      </w:r>
      <w:r w:rsidR="00623951" w:rsidRPr="001952B6">
        <w:rPr>
          <w:rFonts w:hint="eastAsia"/>
          <w:szCs w:val="21"/>
        </w:rPr>
        <w:t>年</w:t>
      </w:r>
      <w:r w:rsidR="00CC78CB">
        <w:rPr>
          <w:rFonts w:hint="eastAsia"/>
          <w:szCs w:val="21"/>
        </w:rPr>
        <w:t>7</w:t>
      </w:r>
      <w:r w:rsidR="00623951" w:rsidRPr="001952B6">
        <w:rPr>
          <w:rFonts w:hint="eastAsia"/>
          <w:szCs w:val="21"/>
        </w:rPr>
        <w:t>月</w:t>
      </w:r>
      <w:r w:rsidR="008A1BF3">
        <w:rPr>
          <w:rFonts w:hint="eastAsia"/>
          <w:szCs w:val="21"/>
        </w:rPr>
        <w:t>8</w:t>
      </w:r>
      <w:r w:rsidR="00623951" w:rsidRPr="001952B6">
        <w:rPr>
          <w:rFonts w:hint="eastAsia"/>
          <w:szCs w:val="21"/>
        </w:rPr>
        <w:t>日</w:t>
      </w:r>
      <w:r w:rsidR="00C34B5A" w:rsidRPr="001952B6">
        <w:rPr>
          <w:rFonts w:hint="eastAsia"/>
          <w:szCs w:val="21"/>
        </w:rPr>
        <w:t>上午</w:t>
      </w:r>
      <w:r w:rsidR="00C34B5A" w:rsidRPr="001952B6">
        <w:rPr>
          <w:szCs w:val="21"/>
        </w:rPr>
        <w:t>10:30</w:t>
      </w:r>
      <w:r w:rsidR="00C34B5A" w:rsidRPr="001952B6">
        <w:rPr>
          <w:rFonts w:hint="eastAsia"/>
          <w:szCs w:val="21"/>
        </w:rPr>
        <w:t>复牌。</w:t>
      </w:r>
    </w:p>
    <w:p w:rsidR="00CC78D2" w:rsidRPr="00A131BA" w:rsidRDefault="00C34B5A" w:rsidP="00986499">
      <w:pPr>
        <w:spacing w:line="360" w:lineRule="auto"/>
        <w:ind w:firstLine="403"/>
        <w:rPr>
          <w:szCs w:val="21"/>
        </w:rPr>
      </w:pPr>
      <w:r w:rsidRPr="001952B6">
        <w:rPr>
          <w:szCs w:val="21"/>
        </w:rPr>
        <w:t>2</w:t>
      </w:r>
      <w:r w:rsidRPr="001952B6">
        <w:rPr>
          <w:rFonts w:hint="eastAsia"/>
          <w:szCs w:val="21"/>
        </w:rPr>
        <w:t>、</w:t>
      </w:r>
      <w:r w:rsidR="00CC78D2">
        <w:rPr>
          <w:rFonts w:hint="eastAsia"/>
          <w:szCs w:val="21"/>
        </w:rPr>
        <w:t>本基金</w:t>
      </w:r>
      <w:r w:rsidR="00CC78D2" w:rsidRPr="00A131BA">
        <w:rPr>
          <w:szCs w:val="21"/>
        </w:rPr>
        <w:t>TMT</w:t>
      </w:r>
      <w:r w:rsidR="00CC78D2" w:rsidRPr="00A131BA">
        <w:rPr>
          <w:rFonts w:hint="eastAsia"/>
          <w:szCs w:val="21"/>
        </w:rPr>
        <w:t>中证</w:t>
      </w:r>
      <w:r w:rsidR="00CC78D2" w:rsidRPr="00A131BA">
        <w:rPr>
          <w:szCs w:val="21"/>
        </w:rPr>
        <w:t>A</w:t>
      </w:r>
      <w:r w:rsidR="00CC78D2" w:rsidRPr="00A131BA">
        <w:rPr>
          <w:szCs w:val="21"/>
        </w:rPr>
        <w:t>份额具有预期风险、预期收益较低的特征</w:t>
      </w:r>
      <w:r w:rsidR="00CC78D2" w:rsidRPr="00A131BA">
        <w:rPr>
          <w:rFonts w:hint="eastAsia"/>
          <w:szCs w:val="21"/>
        </w:rPr>
        <w:t>。</w:t>
      </w:r>
      <w:r w:rsidR="00F057DF" w:rsidRPr="00F751D4">
        <w:rPr>
          <w:rFonts w:hint="eastAsia"/>
          <w:szCs w:val="21"/>
        </w:rPr>
        <w:t>但在不定期份额折算后</w:t>
      </w:r>
      <w:r w:rsidR="00CC78D2" w:rsidRPr="00A131BA">
        <w:rPr>
          <w:szCs w:val="21"/>
        </w:rPr>
        <w:t>TMT</w:t>
      </w:r>
      <w:r w:rsidR="00CC78D2" w:rsidRPr="00A131BA">
        <w:rPr>
          <w:rFonts w:hint="eastAsia"/>
          <w:szCs w:val="21"/>
        </w:rPr>
        <w:t>中证</w:t>
      </w:r>
      <w:r w:rsidR="00CC78D2" w:rsidRPr="00A131BA">
        <w:rPr>
          <w:szCs w:val="21"/>
        </w:rPr>
        <w:t>A</w:t>
      </w:r>
      <w:r w:rsidR="0036248F">
        <w:rPr>
          <w:rFonts w:hint="eastAsia"/>
          <w:szCs w:val="21"/>
        </w:rPr>
        <w:t>份额</w:t>
      </w:r>
      <w:r w:rsidR="00CC78D2" w:rsidRPr="00A131BA">
        <w:rPr>
          <w:rFonts w:hint="eastAsia"/>
          <w:szCs w:val="21"/>
        </w:rPr>
        <w:t>持有人的风险收益特征将发生</w:t>
      </w:r>
      <w:r w:rsidR="0036248F">
        <w:rPr>
          <w:rFonts w:hint="eastAsia"/>
          <w:szCs w:val="21"/>
        </w:rPr>
        <w:t>较大</w:t>
      </w:r>
      <w:r w:rsidR="00CC78D2" w:rsidRPr="00A131BA">
        <w:rPr>
          <w:rFonts w:hint="eastAsia"/>
          <w:szCs w:val="21"/>
        </w:rPr>
        <w:t>变化，由持有单一的较低风险收益特征的</w:t>
      </w:r>
      <w:r w:rsidR="00CC78D2" w:rsidRPr="00A131BA">
        <w:rPr>
          <w:szCs w:val="21"/>
        </w:rPr>
        <w:t>TMT</w:t>
      </w:r>
      <w:r w:rsidR="00CC78D2" w:rsidRPr="00A131BA">
        <w:rPr>
          <w:rFonts w:hint="eastAsia"/>
          <w:szCs w:val="21"/>
        </w:rPr>
        <w:t>中证</w:t>
      </w:r>
      <w:r w:rsidR="00CC78D2" w:rsidRPr="00A131BA">
        <w:rPr>
          <w:szCs w:val="21"/>
        </w:rPr>
        <w:t>A</w:t>
      </w:r>
      <w:r w:rsidR="0036248F">
        <w:rPr>
          <w:rFonts w:hint="eastAsia"/>
          <w:szCs w:val="21"/>
        </w:rPr>
        <w:t>份额</w:t>
      </w:r>
      <w:r w:rsidR="0036248F" w:rsidRPr="001952B6">
        <w:rPr>
          <w:rFonts w:hint="eastAsia"/>
          <w:szCs w:val="21"/>
        </w:rPr>
        <w:t>变为同时持有较低风险收益特征的</w:t>
      </w:r>
      <w:r w:rsidR="0036248F" w:rsidRPr="001952B6">
        <w:rPr>
          <w:rFonts w:hint="eastAsia"/>
          <w:szCs w:val="21"/>
        </w:rPr>
        <w:t>TMT</w:t>
      </w:r>
      <w:r w:rsidR="0036248F" w:rsidRPr="001952B6">
        <w:rPr>
          <w:rFonts w:hint="eastAsia"/>
          <w:szCs w:val="21"/>
        </w:rPr>
        <w:t>中证</w:t>
      </w:r>
      <w:r w:rsidR="0036248F" w:rsidRPr="001952B6">
        <w:rPr>
          <w:rFonts w:hint="eastAsia"/>
          <w:szCs w:val="21"/>
        </w:rPr>
        <w:t>A</w:t>
      </w:r>
      <w:r w:rsidR="0036248F" w:rsidRPr="001952B6">
        <w:rPr>
          <w:szCs w:val="21"/>
        </w:rPr>
        <w:t>份额</w:t>
      </w:r>
      <w:r w:rsidR="0036248F" w:rsidRPr="001952B6">
        <w:rPr>
          <w:rFonts w:hint="eastAsia"/>
          <w:szCs w:val="21"/>
        </w:rPr>
        <w:t>与较高风险收益特征的</w:t>
      </w:r>
      <w:r w:rsidR="0036248F" w:rsidRPr="001952B6">
        <w:rPr>
          <w:szCs w:val="21"/>
        </w:rPr>
        <w:t>信诚</w:t>
      </w:r>
      <w:r w:rsidR="0036248F" w:rsidRPr="001952B6">
        <w:rPr>
          <w:rFonts w:hint="eastAsia"/>
          <w:szCs w:val="21"/>
        </w:rPr>
        <w:t>TMT</w:t>
      </w:r>
      <w:r w:rsidR="0036248F" w:rsidRPr="001952B6">
        <w:rPr>
          <w:szCs w:val="21"/>
        </w:rPr>
        <w:t>份额</w:t>
      </w:r>
      <w:r w:rsidR="00CC78D2" w:rsidRPr="00A131BA">
        <w:rPr>
          <w:rFonts w:hint="eastAsia"/>
          <w:szCs w:val="21"/>
        </w:rPr>
        <w:t>，因此原</w:t>
      </w:r>
      <w:r w:rsidR="00CC78D2" w:rsidRPr="00A131BA">
        <w:rPr>
          <w:szCs w:val="21"/>
        </w:rPr>
        <w:t>TMT</w:t>
      </w:r>
      <w:r w:rsidR="00CC78D2" w:rsidRPr="00A131BA">
        <w:rPr>
          <w:rFonts w:hint="eastAsia"/>
          <w:szCs w:val="21"/>
        </w:rPr>
        <w:t>中证</w:t>
      </w:r>
      <w:r w:rsidR="00CC78D2" w:rsidRPr="00A131BA">
        <w:rPr>
          <w:szCs w:val="21"/>
        </w:rPr>
        <w:t>A</w:t>
      </w:r>
      <w:r w:rsidR="0036248F">
        <w:rPr>
          <w:rFonts w:hint="eastAsia"/>
          <w:szCs w:val="21"/>
        </w:rPr>
        <w:t>份额</w:t>
      </w:r>
      <w:r w:rsidR="00CC78D2" w:rsidRPr="00A131BA">
        <w:rPr>
          <w:rFonts w:hint="eastAsia"/>
          <w:szCs w:val="21"/>
        </w:rPr>
        <w:t>持有人预期收益实现的不确定性将会增加</w:t>
      </w:r>
      <w:r w:rsidR="0036248F">
        <w:rPr>
          <w:rFonts w:hint="eastAsia"/>
          <w:szCs w:val="21"/>
        </w:rPr>
        <w:t>；</w:t>
      </w:r>
      <w:r w:rsidR="00CC78D2" w:rsidRPr="00A131BA">
        <w:rPr>
          <w:rFonts w:hint="eastAsia"/>
          <w:szCs w:val="21"/>
        </w:rPr>
        <w:t>此外，信诚</w:t>
      </w:r>
      <w:r w:rsidR="00CC78D2" w:rsidRPr="00A131BA">
        <w:rPr>
          <w:rFonts w:hint="eastAsia"/>
          <w:szCs w:val="21"/>
        </w:rPr>
        <w:t>TMT</w:t>
      </w:r>
      <w:r w:rsidR="00A57202" w:rsidRPr="001952B6">
        <w:rPr>
          <w:szCs w:val="21"/>
        </w:rPr>
        <w:t>份额</w:t>
      </w:r>
      <w:r w:rsidR="00CC78D2" w:rsidRPr="00A131BA">
        <w:rPr>
          <w:rFonts w:hint="eastAsia"/>
          <w:szCs w:val="21"/>
        </w:rPr>
        <w:t>为跟踪指数的基础份额，其份额净值将随市场涨跌而变化，因此原</w:t>
      </w:r>
      <w:r w:rsidR="00CC78D2" w:rsidRPr="00A131BA">
        <w:rPr>
          <w:szCs w:val="21"/>
        </w:rPr>
        <w:t>TMT</w:t>
      </w:r>
      <w:r w:rsidR="00CC78D2" w:rsidRPr="00A131BA">
        <w:rPr>
          <w:rFonts w:hint="eastAsia"/>
          <w:szCs w:val="21"/>
        </w:rPr>
        <w:t>中证</w:t>
      </w:r>
      <w:r w:rsidR="00CC78D2" w:rsidRPr="00A131BA">
        <w:rPr>
          <w:szCs w:val="21"/>
        </w:rPr>
        <w:t>A</w:t>
      </w:r>
      <w:r w:rsidR="00B05971" w:rsidRPr="001952B6">
        <w:rPr>
          <w:szCs w:val="21"/>
        </w:rPr>
        <w:t>份额</w:t>
      </w:r>
      <w:r w:rsidR="00CC78D2" w:rsidRPr="00A131BA">
        <w:rPr>
          <w:rFonts w:hint="eastAsia"/>
          <w:szCs w:val="21"/>
        </w:rPr>
        <w:t>持有人还可能会承担因市场下跌而遭受损失的风险。</w:t>
      </w:r>
    </w:p>
    <w:p w:rsidR="00CC78D2" w:rsidRPr="00A82C19" w:rsidRDefault="00D44B36" w:rsidP="00986499">
      <w:pPr>
        <w:spacing w:line="360" w:lineRule="auto"/>
        <w:ind w:firstLine="403"/>
        <w:rPr>
          <w:szCs w:val="21"/>
        </w:rPr>
      </w:pPr>
      <w:r w:rsidRPr="001952B6">
        <w:rPr>
          <w:szCs w:val="21"/>
        </w:rPr>
        <w:t>3</w:t>
      </w:r>
      <w:r w:rsidRPr="001952B6">
        <w:rPr>
          <w:rFonts w:hint="eastAsia"/>
          <w:szCs w:val="21"/>
        </w:rPr>
        <w:t>、</w:t>
      </w:r>
      <w:r w:rsidR="00CC78D2">
        <w:rPr>
          <w:rFonts w:hint="eastAsia"/>
          <w:szCs w:val="21"/>
        </w:rPr>
        <w:t>本基金</w:t>
      </w:r>
      <w:r w:rsidR="00CC78D2" w:rsidRPr="00A131BA">
        <w:rPr>
          <w:szCs w:val="21"/>
        </w:rPr>
        <w:t>TMT</w:t>
      </w:r>
      <w:r w:rsidR="00CC78D2" w:rsidRPr="00A131BA">
        <w:rPr>
          <w:rFonts w:hint="eastAsia"/>
          <w:szCs w:val="21"/>
        </w:rPr>
        <w:t>中证</w:t>
      </w:r>
      <w:r w:rsidR="00CC78D2" w:rsidRPr="00A131BA">
        <w:rPr>
          <w:szCs w:val="21"/>
        </w:rPr>
        <w:t>B</w:t>
      </w:r>
      <w:r w:rsidR="00CC78D2" w:rsidRPr="00A131BA">
        <w:rPr>
          <w:szCs w:val="21"/>
        </w:rPr>
        <w:t>份额具有预期风</w:t>
      </w:r>
      <w:r w:rsidR="00CC78D2" w:rsidRPr="00A82C19">
        <w:rPr>
          <w:szCs w:val="21"/>
        </w:rPr>
        <w:t>险、预期收益较高的特征</w:t>
      </w:r>
      <w:r w:rsidR="00CC78D2" w:rsidRPr="00A82C19">
        <w:rPr>
          <w:rFonts w:hint="eastAsia"/>
          <w:szCs w:val="21"/>
        </w:rPr>
        <w:t>。不定期份额折算后</w:t>
      </w:r>
      <w:r w:rsidR="0036248F" w:rsidRPr="00A82C19">
        <w:rPr>
          <w:rFonts w:hint="eastAsia"/>
          <w:szCs w:val="21"/>
        </w:rPr>
        <w:t>其杠杆倍数将大幅降低，将恢复到初始杠杆水平，相应地，</w:t>
      </w:r>
      <w:r w:rsidR="0036248F" w:rsidRPr="00A131BA">
        <w:rPr>
          <w:szCs w:val="21"/>
        </w:rPr>
        <w:t>TMT</w:t>
      </w:r>
      <w:r w:rsidR="0036248F" w:rsidRPr="00A131BA">
        <w:rPr>
          <w:rFonts w:hint="eastAsia"/>
          <w:szCs w:val="21"/>
        </w:rPr>
        <w:t>中证</w:t>
      </w:r>
      <w:r w:rsidR="0036248F" w:rsidRPr="00A131BA">
        <w:rPr>
          <w:szCs w:val="21"/>
        </w:rPr>
        <w:t>B</w:t>
      </w:r>
      <w:r w:rsidR="0036248F" w:rsidRPr="00A82C19">
        <w:rPr>
          <w:rFonts w:hint="eastAsia"/>
          <w:szCs w:val="21"/>
        </w:rPr>
        <w:t>份额净值随市场涨跌而增长或者下降的幅度也会大幅减小。</w:t>
      </w:r>
    </w:p>
    <w:p w:rsidR="00D44B36" w:rsidRPr="001952B6" w:rsidRDefault="00D44B36" w:rsidP="00986499">
      <w:pPr>
        <w:spacing w:line="360" w:lineRule="auto"/>
        <w:ind w:firstLine="403"/>
        <w:rPr>
          <w:szCs w:val="21"/>
        </w:rPr>
      </w:pPr>
      <w:r w:rsidRPr="001952B6">
        <w:rPr>
          <w:szCs w:val="21"/>
        </w:rPr>
        <w:t>4</w:t>
      </w:r>
      <w:r w:rsidRPr="001952B6">
        <w:rPr>
          <w:rFonts w:hint="eastAsia"/>
          <w:szCs w:val="21"/>
        </w:rPr>
        <w:t>、由于</w:t>
      </w:r>
      <w:r w:rsidR="00623951" w:rsidRPr="001952B6">
        <w:rPr>
          <w:rFonts w:hint="eastAsia"/>
          <w:szCs w:val="21"/>
        </w:rPr>
        <w:t>TMT</w:t>
      </w:r>
      <w:r w:rsidR="00623951" w:rsidRPr="001952B6">
        <w:rPr>
          <w:rFonts w:hint="eastAsia"/>
          <w:szCs w:val="21"/>
        </w:rPr>
        <w:t>中证</w:t>
      </w:r>
      <w:r w:rsidR="00623951" w:rsidRPr="001952B6">
        <w:rPr>
          <w:rFonts w:hint="eastAsia"/>
          <w:szCs w:val="21"/>
        </w:rPr>
        <w:t>A</w:t>
      </w:r>
      <w:r w:rsidRPr="001952B6">
        <w:rPr>
          <w:rFonts w:hint="eastAsia"/>
          <w:szCs w:val="21"/>
        </w:rPr>
        <w:t>份额、</w:t>
      </w:r>
      <w:r w:rsidR="00623951" w:rsidRPr="001952B6">
        <w:rPr>
          <w:rFonts w:hint="eastAsia"/>
          <w:szCs w:val="21"/>
        </w:rPr>
        <w:t>TMT</w:t>
      </w:r>
      <w:r w:rsidR="00623951" w:rsidRPr="001952B6">
        <w:rPr>
          <w:rFonts w:hint="eastAsia"/>
          <w:szCs w:val="21"/>
        </w:rPr>
        <w:t>中证</w:t>
      </w:r>
      <w:r w:rsidR="00623951" w:rsidRPr="001952B6">
        <w:rPr>
          <w:rFonts w:hint="eastAsia"/>
          <w:szCs w:val="21"/>
        </w:rPr>
        <w:t>B</w:t>
      </w:r>
      <w:r w:rsidRPr="001952B6">
        <w:rPr>
          <w:rFonts w:hint="eastAsia"/>
          <w:szCs w:val="21"/>
        </w:rPr>
        <w:t>份额折算前可能存在折溢价交易情形，不定期份额折算后，</w:t>
      </w:r>
      <w:r w:rsidR="00623951" w:rsidRPr="001952B6">
        <w:rPr>
          <w:rFonts w:hint="eastAsia"/>
          <w:szCs w:val="21"/>
        </w:rPr>
        <w:t>TMT</w:t>
      </w:r>
      <w:r w:rsidR="00623951" w:rsidRPr="001952B6">
        <w:rPr>
          <w:rFonts w:hint="eastAsia"/>
          <w:szCs w:val="21"/>
        </w:rPr>
        <w:t>中证</w:t>
      </w:r>
      <w:r w:rsidR="00623951" w:rsidRPr="001952B6">
        <w:rPr>
          <w:rFonts w:hint="eastAsia"/>
          <w:szCs w:val="21"/>
        </w:rPr>
        <w:t>A</w:t>
      </w:r>
      <w:r w:rsidRPr="001952B6">
        <w:rPr>
          <w:rFonts w:hint="eastAsia"/>
          <w:szCs w:val="21"/>
        </w:rPr>
        <w:t>份额、</w:t>
      </w:r>
      <w:r w:rsidR="00623951" w:rsidRPr="001952B6">
        <w:rPr>
          <w:rFonts w:hint="eastAsia"/>
          <w:szCs w:val="21"/>
        </w:rPr>
        <w:t>TMT</w:t>
      </w:r>
      <w:r w:rsidR="00623951" w:rsidRPr="001952B6">
        <w:rPr>
          <w:rFonts w:hint="eastAsia"/>
          <w:szCs w:val="21"/>
        </w:rPr>
        <w:t>中证</w:t>
      </w:r>
      <w:r w:rsidR="00623951" w:rsidRPr="001952B6">
        <w:rPr>
          <w:rFonts w:hint="eastAsia"/>
          <w:szCs w:val="21"/>
        </w:rPr>
        <w:t>B</w:t>
      </w:r>
      <w:r w:rsidRPr="001952B6">
        <w:rPr>
          <w:rFonts w:hint="eastAsia"/>
          <w:szCs w:val="21"/>
        </w:rPr>
        <w:t>份额的折溢价率可能发生较大变化。特提请参与二级市场交易的投资者注意折溢价所带来的风险。</w:t>
      </w:r>
    </w:p>
    <w:p w:rsidR="00D44B36" w:rsidRPr="001952B6" w:rsidRDefault="00F07D9D" w:rsidP="00986499">
      <w:pPr>
        <w:spacing w:line="360" w:lineRule="auto"/>
        <w:ind w:firstLine="403"/>
        <w:rPr>
          <w:szCs w:val="21"/>
        </w:rPr>
      </w:pPr>
      <w:r>
        <w:rPr>
          <w:rFonts w:hint="eastAsia"/>
          <w:szCs w:val="21"/>
        </w:rPr>
        <w:t>5</w:t>
      </w:r>
      <w:r w:rsidR="00D44B36" w:rsidRPr="001952B6">
        <w:rPr>
          <w:rFonts w:hint="eastAsia"/>
          <w:szCs w:val="21"/>
        </w:rPr>
        <w:t>、根据深圳证券交易所的相关业务规则，</w:t>
      </w:r>
      <w:r w:rsidR="00623951" w:rsidRPr="001952B6">
        <w:rPr>
          <w:rFonts w:hint="eastAsia"/>
          <w:szCs w:val="21"/>
        </w:rPr>
        <w:t>TMT</w:t>
      </w:r>
      <w:r w:rsidR="00623951" w:rsidRPr="001952B6">
        <w:rPr>
          <w:rFonts w:hint="eastAsia"/>
          <w:szCs w:val="21"/>
        </w:rPr>
        <w:t>中证</w:t>
      </w:r>
      <w:r w:rsidR="00623951" w:rsidRPr="001952B6">
        <w:rPr>
          <w:rFonts w:hint="eastAsia"/>
          <w:szCs w:val="21"/>
        </w:rPr>
        <w:t>A</w:t>
      </w:r>
      <w:r w:rsidR="00D44B36" w:rsidRPr="001952B6">
        <w:rPr>
          <w:rFonts w:hint="eastAsia"/>
          <w:szCs w:val="21"/>
        </w:rPr>
        <w:t>份额、</w:t>
      </w:r>
      <w:r w:rsidR="00623951" w:rsidRPr="001952B6">
        <w:rPr>
          <w:rFonts w:hint="eastAsia"/>
          <w:szCs w:val="21"/>
        </w:rPr>
        <w:t>TMT</w:t>
      </w:r>
      <w:r w:rsidR="00623951" w:rsidRPr="001952B6">
        <w:rPr>
          <w:rFonts w:hint="eastAsia"/>
          <w:szCs w:val="21"/>
        </w:rPr>
        <w:t>中证</w:t>
      </w:r>
      <w:r w:rsidR="00623951" w:rsidRPr="001952B6">
        <w:rPr>
          <w:rFonts w:hint="eastAsia"/>
          <w:szCs w:val="21"/>
        </w:rPr>
        <w:t>B</w:t>
      </w:r>
      <w:r w:rsidR="00D44B36" w:rsidRPr="001952B6">
        <w:rPr>
          <w:rFonts w:hint="eastAsia"/>
          <w:szCs w:val="21"/>
        </w:rPr>
        <w:t>份额、</w:t>
      </w:r>
      <w:r w:rsidR="00D44B36" w:rsidRPr="001952B6">
        <w:rPr>
          <w:szCs w:val="21"/>
        </w:rPr>
        <w:t>信诚</w:t>
      </w:r>
      <w:r w:rsidR="00623951" w:rsidRPr="001952B6">
        <w:rPr>
          <w:rFonts w:hint="eastAsia"/>
          <w:szCs w:val="21"/>
        </w:rPr>
        <w:t>TMT</w:t>
      </w:r>
      <w:r w:rsidR="00D44B36" w:rsidRPr="001952B6">
        <w:rPr>
          <w:szCs w:val="21"/>
        </w:rPr>
        <w:t>份额</w:t>
      </w:r>
      <w:r w:rsidR="00D44B36" w:rsidRPr="001952B6">
        <w:rPr>
          <w:rFonts w:hint="eastAsia"/>
          <w:szCs w:val="21"/>
        </w:rPr>
        <w:t>的场内份额经折算后的份额数均取整计算（最小单位为</w:t>
      </w:r>
      <w:r w:rsidR="00D44B36" w:rsidRPr="001952B6">
        <w:rPr>
          <w:szCs w:val="21"/>
        </w:rPr>
        <w:t>1</w:t>
      </w:r>
      <w:r w:rsidR="00D44B36" w:rsidRPr="001952B6">
        <w:rPr>
          <w:rFonts w:hint="eastAsia"/>
          <w:szCs w:val="21"/>
        </w:rPr>
        <w:t>份），舍去部分计入基金财产，持有极小数量</w:t>
      </w:r>
      <w:r w:rsidR="00623951" w:rsidRPr="001952B6">
        <w:rPr>
          <w:rFonts w:hint="eastAsia"/>
          <w:szCs w:val="21"/>
        </w:rPr>
        <w:t>TMT</w:t>
      </w:r>
      <w:r w:rsidR="00623951" w:rsidRPr="001952B6">
        <w:rPr>
          <w:rFonts w:hint="eastAsia"/>
          <w:szCs w:val="21"/>
        </w:rPr>
        <w:t>中证</w:t>
      </w:r>
      <w:r w:rsidR="00623951" w:rsidRPr="001952B6">
        <w:rPr>
          <w:rFonts w:hint="eastAsia"/>
          <w:szCs w:val="21"/>
        </w:rPr>
        <w:t>A</w:t>
      </w:r>
      <w:r w:rsidR="00D44B36" w:rsidRPr="001952B6">
        <w:rPr>
          <w:rFonts w:hint="eastAsia"/>
          <w:szCs w:val="21"/>
        </w:rPr>
        <w:t>份额、</w:t>
      </w:r>
      <w:r w:rsidR="00623951" w:rsidRPr="001952B6">
        <w:rPr>
          <w:rFonts w:hint="eastAsia"/>
          <w:szCs w:val="21"/>
        </w:rPr>
        <w:t>TMT</w:t>
      </w:r>
      <w:r w:rsidR="00623951" w:rsidRPr="001952B6">
        <w:rPr>
          <w:rFonts w:hint="eastAsia"/>
          <w:szCs w:val="21"/>
        </w:rPr>
        <w:t>中证</w:t>
      </w:r>
      <w:r w:rsidR="00623951" w:rsidRPr="001952B6">
        <w:rPr>
          <w:rFonts w:hint="eastAsia"/>
          <w:szCs w:val="21"/>
        </w:rPr>
        <w:t>B</w:t>
      </w:r>
      <w:r w:rsidR="00D44B36" w:rsidRPr="001952B6">
        <w:rPr>
          <w:rFonts w:hint="eastAsia"/>
          <w:szCs w:val="21"/>
        </w:rPr>
        <w:t>份额、</w:t>
      </w:r>
      <w:r w:rsidR="00D44B36" w:rsidRPr="001952B6">
        <w:rPr>
          <w:szCs w:val="21"/>
        </w:rPr>
        <w:t>信诚</w:t>
      </w:r>
      <w:r w:rsidR="00623951" w:rsidRPr="001952B6">
        <w:rPr>
          <w:rFonts w:hint="eastAsia"/>
          <w:szCs w:val="21"/>
        </w:rPr>
        <w:t>TMT</w:t>
      </w:r>
      <w:r w:rsidR="00D44B36" w:rsidRPr="001952B6">
        <w:rPr>
          <w:szCs w:val="21"/>
        </w:rPr>
        <w:t>份额</w:t>
      </w:r>
      <w:r w:rsidR="00D44B36" w:rsidRPr="001952B6">
        <w:rPr>
          <w:rFonts w:hint="eastAsia"/>
          <w:szCs w:val="21"/>
        </w:rPr>
        <w:t>的持有人，存在折算后份额因为不足</w:t>
      </w:r>
      <w:r w:rsidR="00D44B36" w:rsidRPr="001952B6">
        <w:rPr>
          <w:szCs w:val="21"/>
        </w:rPr>
        <w:t>1</w:t>
      </w:r>
      <w:r w:rsidR="00D44B36" w:rsidRPr="001952B6">
        <w:rPr>
          <w:rFonts w:hint="eastAsia"/>
          <w:szCs w:val="21"/>
        </w:rPr>
        <w:t>份而导致相应的资产被强制归入基金资产的风险。</w:t>
      </w:r>
    </w:p>
    <w:p w:rsidR="00D44B36" w:rsidRPr="001952B6" w:rsidRDefault="00F07D9D" w:rsidP="00986499">
      <w:pPr>
        <w:spacing w:line="360" w:lineRule="auto"/>
        <w:ind w:firstLine="403"/>
        <w:rPr>
          <w:szCs w:val="21"/>
        </w:rPr>
      </w:pPr>
      <w:r>
        <w:rPr>
          <w:rFonts w:hint="eastAsia"/>
          <w:szCs w:val="21"/>
        </w:rPr>
        <w:t>6</w:t>
      </w:r>
      <w:r w:rsidR="00D44B36" w:rsidRPr="001952B6">
        <w:rPr>
          <w:rFonts w:hint="eastAsia"/>
          <w:szCs w:val="21"/>
        </w:rPr>
        <w:t>、</w:t>
      </w:r>
      <w:r w:rsidR="00EC37E8" w:rsidRPr="008A1BF3">
        <w:rPr>
          <w:szCs w:val="21"/>
        </w:rPr>
        <w:t>TMT</w:t>
      </w:r>
      <w:r w:rsidR="00EC37E8" w:rsidRPr="008A1BF3">
        <w:rPr>
          <w:rFonts w:hint="eastAsia"/>
          <w:szCs w:val="21"/>
        </w:rPr>
        <w:t>中证</w:t>
      </w:r>
      <w:r w:rsidR="00EC37E8" w:rsidRPr="008A1BF3">
        <w:rPr>
          <w:szCs w:val="21"/>
        </w:rPr>
        <w:t>B</w:t>
      </w:r>
      <w:r w:rsidR="00EC37E8" w:rsidRPr="008A1BF3">
        <w:rPr>
          <w:rFonts w:hint="eastAsia"/>
          <w:szCs w:val="21"/>
        </w:rPr>
        <w:t>份额</w:t>
      </w:r>
      <w:r w:rsidRPr="008A1BF3">
        <w:rPr>
          <w:rFonts w:hint="eastAsia"/>
          <w:szCs w:val="21"/>
        </w:rPr>
        <w:t>折算基准日</w:t>
      </w:r>
      <w:r w:rsidR="00EC37E8" w:rsidRPr="008A1BF3">
        <w:rPr>
          <w:rFonts w:hint="eastAsia"/>
          <w:szCs w:val="21"/>
        </w:rPr>
        <w:t>的份额</w:t>
      </w:r>
      <w:r w:rsidRPr="008A1BF3">
        <w:rPr>
          <w:rFonts w:hint="eastAsia"/>
          <w:szCs w:val="21"/>
        </w:rPr>
        <w:t>净值可能与折算阀值</w:t>
      </w:r>
      <w:r w:rsidRPr="008A1BF3">
        <w:rPr>
          <w:rFonts w:hint="eastAsia"/>
          <w:szCs w:val="21"/>
        </w:rPr>
        <w:t>0.250</w:t>
      </w:r>
      <w:r w:rsidRPr="008A1BF3">
        <w:rPr>
          <w:rFonts w:hint="eastAsia"/>
          <w:szCs w:val="21"/>
        </w:rPr>
        <w:t>元有一定差异</w:t>
      </w:r>
      <w:r w:rsidR="00D44B36" w:rsidRPr="001952B6">
        <w:rPr>
          <w:rFonts w:hint="eastAsia"/>
          <w:szCs w:val="21"/>
        </w:rPr>
        <w:t>。</w:t>
      </w:r>
    </w:p>
    <w:p w:rsidR="00756D01" w:rsidRPr="001952B6" w:rsidRDefault="00F07D9D" w:rsidP="00986499">
      <w:pPr>
        <w:spacing w:line="360" w:lineRule="auto"/>
        <w:ind w:firstLine="403"/>
        <w:rPr>
          <w:szCs w:val="21"/>
        </w:rPr>
      </w:pPr>
      <w:r>
        <w:rPr>
          <w:rFonts w:hint="eastAsia"/>
          <w:szCs w:val="21"/>
        </w:rPr>
        <w:t>7</w:t>
      </w:r>
      <w:r w:rsidR="00D44B36" w:rsidRPr="001952B6">
        <w:rPr>
          <w:rFonts w:hint="eastAsia"/>
          <w:szCs w:val="21"/>
        </w:rPr>
        <w:t>、投资者若希望了解基金份额折算业务详情，可致电信诚基金管理有限公司客户服务电话</w:t>
      </w:r>
      <w:r w:rsidR="00D44B36" w:rsidRPr="001952B6">
        <w:rPr>
          <w:rFonts w:hint="eastAsia"/>
          <w:szCs w:val="21"/>
        </w:rPr>
        <w:t>400-666-0066,</w:t>
      </w:r>
      <w:r w:rsidR="00D44B36" w:rsidRPr="001952B6">
        <w:rPr>
          <w:rFonts w:hint="eastAsia"/>
          <w:szCs w:val="21"/>
        </w:rPr>
        <w:t>或登录本公司网站</w:t>
      </w:r>
      <w:r w:rsidR="00D44B36" w:rsidRPr="001952B6">
        <w:rPr>
          <w:rFonts w:hint="eastAsia"/>
          <w:szCs w:val="21"/>
        </w:rPr>
        <w:t>www.xcfunds.com</w:t>
      </w:r>
      <w:r w:rsidR="00D44B36" w:rsidRPr="001952B6">
        <w:rPr>
          <w:rFonts w:hint="eastAsia"/>
          <w:szCs w:val="21"/>
        </w:rPr>
        <w:t>进行查询。</w:t>
      </w:r>
    </w:p>
    <w:p w:rsidR="00756D01" w:rsidRPr="001952B6" w:rsidRDefault="00756D01" w:rsidP="00986499">
      <w:pPr>
        <w:spacing w:line="360" w:lineRule="auto"/>
        <w:ind w:firstLine="403"/>
        <w:rPr>
          <w:szCs w:val="21"/>
        </w:rPr>
      </w:pPr>
    </w:p>
    <w:p w:rsidR="00D44B36" w:rsidRPr="001952B6" w:rsidRDefault="00D44B36" w:rsidP="00986499">
      <w:pPr>
        <w:spacing w:line="360" w:lineRule="auto"/>
        <w:ind w:firstLine="403"/>
        <w:rPr>
          <w:szCs w:val="21"/>
        </w:rPr>
      </w:pPr>
      <w:r w:rsidRPr="001952B6">
        <w:rPr>
          <w:rFonts w:hint="eastAsia"/>
          <w:szCs w:val="21"/>
        </w:rPr>
        <w:t>风险提示：</w:t>
      </w:r>
    </w:p>
    <w:p w:rsidR="00D44B36" w:rsidRPr="001952B6" w:rsidRDefault="00D44B36" w:rsidP="00986499">
      <w:pPr>
        <w:spacing w:line="360" w:lineRule="auto"/>
        <w:ind w:firstLine="403"/>
        <w:rPr>
          <w:szCs w:val="21"/>
        </w:rPr>
      </w:pPr>
      <w:r w:rsidRPr="001952B6">
        <w:rPr>
          <w:rFonts w:hint="eastAsia"/>
          <w:szCs w:val="21"/>
        </w:rPr>
        <w:t>本基金管理人承诺以诚实信用、勤勉尽责的原则管理和运用基金资产</w:t>
      </w:r>
      <w:r w:rsidRPr="001952B6">
        <w:rPr>
          <w:rFonts w:hint="eastAsia"/>
          <w:szCs w:val="21"/>
        </w:rPr>
        <w:t>,</w:t>
      </w:r>
      <w:r w:rsidRPr="001952B6">
        <w:rPr>
          <w:rFonts w:hint="eastAsia"/>
          <w:szCs w:val="21"/>
        </w:rPr>
        <w:t>但不保证基金一定盈利</w:t>
      </w:r>
      <w:r w:rsidRPr="001952B6">
        <w:rPr>
          <w:rFonts w:hint="eastAsia"/>
          <w:szCs w:val="21"/>
        </w:rPr>
        <w:t>,</w:t>
      </w:r>
      <w:r w:rsidRPr="001952B6">
        <w:rPr>
          <w:rFonts w:hint="eastAsia"/>
          <w:szCs w:val="21"/>
        </w:rPr>
        <w:t>也不保证最低收益。投资者投资基金时应认真阅读基金合同和招募说明书。敬请投资者留意投资风险。</w:t>
      </w:r>
    </w:p>
    <w:p w:rsidR="00D44B36" w:rsidRPr="001952B6" w:rsidRDefault="00D44B36" w:rsidP="00986499">
      <w:pPr>
        <w:spacing w:line="360" w:lineRule="auto"/>
        <w:ind w:firstLine="403"/>
        <w:rPr>
          <w:szCs w:val="21"/>
        </w:rPr>
      </w:pPr>
      <w:r w:rsidRPr="001952B6">
        <w:rPr>
          <w:rFonts w:hint="eastAsia"/>
          <w:szCs w:val="21"/>
        </w:rPr>
        <w:t>特此公告。</w:t>
      </w:r>
    </w:p>
    <w:p w:rsidR="00D44B36" w:rsidRPr="001952B6" w:rsidRDefault="00D44B36" w:rsidP="008E24EE">
      <w:pPr>
        <w:spacing w:line="360" w:lineRule="auto"/>
        <w:ind w:firstLine="403"/>
        <w:rPr>
          <w:szCs w:val="21"/>
        </w:rPr>
      </w:pPr>
    </w:p>
    <w:p w:rsidR="00D44B36" w:rsidRPr="001952B6" w:rsidRDefault="00D44B36" w:rsidP="008E24EE">
      <w:pPr>
        <w:spacing w:line="360" w:lineRule="auto"/>
        <w:ind w:firstLine="403"/>
        <w:rPr>
          <w:szCs w:val="21"/>
        </w:rPr>
      </w:pPr>
    </w:p>
    <w:p w:rsidR="00D44B36" w:rsidRPr="001952B6" w:rsidRDefault="00D44B36" w:rsidP="00756D01">
      <w:pPr>
        <w:spacing w:line="360" w:lineRule="auto"/>
        <w:ind w:firstLine="403"/>
        <w:jc w:val="right"/>
        <w:rPr>
          <w:szCs w:val="21"/>
        </w:rPr>
      </w:pPr>
      <w:r w:rsidRPr="001952B6">
        <w:rPr>
          <w:rFonts w:hint="eastAsia"/>
          <w:szCs w:val="21"/>
        </w:rPr>
        <w:t>信诚基金管理有限公司</w:t>
      </w:r>
    </w:p>
    <w:p w:rsidR="00D44B36" w:rsidRPr="006C36A7" w:rsidRDefault="00623951" w:rsidP="00756D01">
      <w:pPr>
        <w:spacing w:line="360" w:lineRule="auto"/>
        <w:ind w:firstLine="403"/>
        <w:jc w:val="right"/>
        <w:rPr>
          <w:szCs w:val="21"/>
        </w:rPr>
      </w:pPr>
      <w:r w:rsidRPr="001952B6">
        <w:rPr>
          <w:rFonts w:hint="eastAsia"/>
          <w:szCs w:val="21"/>
        </w:rPr>
        <w:t>2015</w:t>
      </w:r>
      <w:r w:rsidRPr="001952B6">
        <w:rPr>
          <w:rFonts w:hint="eastAsia"/>
          <w:szCs w:val="21"/>
        </w:rPr>
        <w:t>年</w:t>
      </w:r>
      <w:r w:rsidR="00CC78CB">
        <w:rPr>
          <w:rFonts w:hint="eastAsia"/>
          <w:szCs w:val="21"/>
        </w:rPr>
        <w:t>7</w:t>
      </w:r>
      <w:r w:rsidRPr="001952B6">
        <w:rPr>
          <w:rFonts w:hint="eastAsia"/>
          <w:szCs w:val="21"/>
        </w:rPr>
        <w:t>月</w:t>
      </w:r>
      <w:r w:rsidR="00B949F5">
        <w:rPr>
          <w:rFonts w:hint="eastAsia"/>
          <w:szCs w:val="21"/>
        </w:rPr>
        <w:t>6</w:t>
      </w:r>
      <w:r w:rsidRPr="001952B6">
        <w:rPr>
          <w:rFonts w:hint="eastAsia"/>
          <w:szCs w:val="21"/>
        </w:rPr>
        <w:t>日</w:t>
      </w:r>
    </w:p>
    <w:sectPr w:rsidR="00D44B36" w:rsidRPr="006C36A7" w:rsidSect="00DC48DA">
      <w:pgSz w:w="11906" w:h="16838"/>
      <w:pgMar w:top="1440" w:right="1800" w:bottom="709"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A2B" w:rsidRDefault="004F3A2B" w:rsidP="006D1FA4">
      <w:r>
        <w:separator/>
      </w:r>
    </w:p>
  </w:endnote>
  <w:endnote w:type="continuationSeparator" w:id="1">
    <w:p w:rsidR="004F3A2B" w:rsidRDefault="004F3A2B" w:rsidP="006D1F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A2B" w:rsidRDefault="004F3A2B" w:rsidP="006D1FA4">
      <w:r>
        <w:separator/>
      </w:r>
    </w:p>
  </w:footnote>
  <w:footnote w:type="continuationSeparator" w:id="1">
    <w:p w:rsidR="004F3A2B" w:rsidRDefault="004F3A2B" w:rsidP="006D1F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hdrShapeDefaults>
    <o:shapedefaults v:ext="edit" spidmax="727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4B5A"/>
    <w:rsid w:val="000004B0"/>
    <w:rsid w:val="00021B32"/>
    <w:rsid w:val="00036804"/>
    <w:rsid w:val="00066906"/>
    <w:rsid w:val="000745E1"/>
    <w:rsid w:val="000749E2"/>
    <w:rsid w:val="000D7BAA"/>
    <w:rsid w:val="000F5147"/>
    <w:rsid w:val="00101924"/>
    <w:rsid w:val="0010198F"/>
    <w:rsid w:val="00101EA6"/>
    <w:rsid w:val="00103232"/>
    <w:rsid w:val="00110694"/>
    <w:rsid w:val="00124E87"/>
    <w:rsid w:val="001349E8"/>
    <w:rsid w:val="00152C5C"/>
    <w:rsid w:val="00161086"/>
    <w:rsid w:val="001952B6"/>
    <w:rsid w:val="001C194D"/>
    <w:rsid w:val="001C3030"/>
    <w:rsid w:val="001F2812"/>
    <w:rsid w:val="001F6DC3"/>
    <w:rsid w:val="00232D0F"/>
    <w:rsid w:val="00253093"/>
    <w:rsid w:val="00255F3A"/>
    <w:rsid w:val="0025793E"/>
    <w:rsid w:val="00262BF4"/>
    <w:rsid w:val="00292DC9"/>
    <w:rsid w:val="002F0D90"/>
    <w:rsid w:val="00306291"/>
    <w:rsid w:val="003100E9"/>
    <w:rsid w:val="003244BA"/>
    <w:rsid w:val="00326AEC"/>
    <w:rsid w:val="00327973"/>
    <w:rsid w:val="00335631"/>
    <w:rsid w:val="00360F74"/>
    <w:rsid w:val="0036248F"/>
    <w:rsid w:val="0037375A"/>
    <w:rsid w:val="00385448"/>
    <w:rsid w:val="00396F45"/>
    <w:rsid w:val="003C52F2"/>
    <w:rsid w:val="003D48C6"/>
    <w:rsid w:val="003E61BB"/>
    <w:rsid w:val="003F24A0"/>
    <w:rsid w:val="004009EF"/>
    <w:rsid w:val="00437728"/>
    <w:rsid w:val="00445252"/>
    <w:rsid w:val="00447344"/>
    <w:rsid w:val="00473BE2"/>
    <w:rsid w:val="00473D2B"/>
    <w:rsid w:val="00492855"/>
    <w:rsid w:val="004A5A3A"/>
    <w:rsid w:val="004A645D"/>
    <w:rsid w:val="004D2A7B"/>
    <w:rsid w:val="004F3A2B"/>
    <w:rsid w:val="00525AC9"/>
    <w:rsid w:val="00536778"/>
    <w:rsid w:val="00550912"/>
    <w:rsid w:val="005608D1"/>
    <w:rsid w:val="00583086"/>
    <w:rsid w:val="005839E8"/>
    <w:rsid w:val="005A52BF"/>
    <w:rsid w:val="005A5EB5"/>
    <w:rsid w:val="005C068C"/>
    <w:rsid w:val="005D405E"/>
    <w:rsid w:val="005E069C"/>
    <w:rsid w:val="00610856"/>
    <w:rsid w:val="00623951"/>
    <w:rsid w:val="00626D31"/>
    <w:rsid w:val="00631A8A"/>
    <w:rsid w:val="006429F0"/>
    <w:rsid w:val="00656A6A"/>
    <w:rsid w:val="00663965"/>
    <w:rsid w:val="006834FF"/>
    <w:rsid w:val="006B4EDC"/>
    <w:rsid w:val="006C36A7"/>
    <w:rsid w:val="006C3738"/>
    <w:rsid w:val="006C4FB8"/>
    <w:rsid w:val="006D1FA4"/>
    <w:rsid w:val="00721C76"/>
    <w:rsid w:val="00756D01"/>
    <w:rsid w:val="00765DFC"/>
    <w:rsid w:val="00770197"/>
    <w:rsid w:val="00773ABB"/>
    <w:rsid w:val="007755EC"/>
    <w:rsid w:val="00795FEA"/>
    <w:rsid w:val="007A09F2"/>
    <w:rsid w:val="007A0AB3"/>
    <w:rsid w:val="007A1CE3"/>
    <w:rsid w:val="007A2F53"/>
    <w:rsid w:val="007B3FC5"/>
    <w:rsid w:val="007D6137"/>
    <w:rsid w:val="00807904"/>
    <w:rsid w:val="00813467"/>
    <w:rsid w:val="00835A73"/>
    <w:rsid w:val="0087049C"/>
    <w:rsid w:val="00871226"/>
    <w:rsid w:val="0089264D"/>
    <w:rsid w:val="00897093"/>
    <w:rsid w:val="008A1BF3"/>
    <w:rsid w:val="008A29BC"/>
    <w:rsid w:val="008C565C"/>
    <w:rsid w:val="008E24EE"/>
    <w:rsid w:val="008F426D"/>
    <w:rsid w:val="008F7598"/>
    <w:rsid w:val="0091717A"/>
    <w:rsid w:val="009216F5"/>
    <w:rsid w:val="00933577"/>
    <w:rsid w:val="00951C62"/>
    <w:rsid w:val="009611BD"/>
    <w:rsid w:val="0096144E"/>
    <w:rsid w:val="009662D5"/>
    <w:rsid w:val="00974F50"/>
    <w:rsid w:val="00981C45"/>
    <w:rsid w:val="00986499"/>
    <w:rsid w:val="00987C0D"/>
    <w:rsid w:val="00A04FFE"/>
    <w:rsid w:val="00A131BA"/>
    <w:rsid w:val="00A21E86"/>
    <w:rsid w:val="00A224E0"/>
    <w:rsid w:val="00A279FF"/>
    <w:rsid w:val="00A55078"/>
    <w:rsid w:val="00A57202"/>
    <w:rsid w:val="00A75705"/>
    <w:rsid w:val="00A82C19"/>
    <w:rsid w:val="00A87D88"/>
    <w:rsid w:val="00AC1A5B"/>
    <w:rsid w:val="00AE22E9"/>
    <w:rsid w:val="00B04E7E"/>
    <w:rsid w:val="00B05971"/>
    <w:rsid w:val="00B67CAB"/>
    <w:rsid w:val="00B8373B"/>
    <w:rsid w:val="00B8404E"/>
    <w:rsid w:val="00B84179"/>
    <w:rsid w:val="00B904B2"/>
    <w:rsid w:val="00B949F5"/>
    <w:rsid w:val="00C267EE"/>
    <w:rsid w:val="00C315D2"/>
    <w:rsid w:val="00C34B5A"/>
    <w:rsid w:val="00C742AF"/>
    <w:rsid w:val="00C7482C"/>
    <w:rsid w:val="00CC150C"/>
    <w:rsid w:val="00CC78CB"/>
    <w:rsid w:val="00CC78D2"/>
    <w:rsid w:val="00CD1C7D"/>
    <w:rsid w:val="00CE4CCA"/>
    <w:rsid w:val="00CE6631"/>
    <w:rsid w:val="00D15185"/>
    <w:rsid w:val="00D26449"/>
    <w:rsid w:val="00D269F9"/>
    <w:rsid w:val="00D32A89"/>
    <w:rsid w:val="00D35F54"/>
    <w:rsid w:val="00D44B36"/>
    <w:rsid w:val="00D62352"/>
    <w:rsid w:val="00D86171"/>
    <w:rsid w:val="00DB55BF"/>
    <w:rsid w:val="00DC1E54"/>
    <w:rsid w:val="00DC48DA"/>
    <w:rsid w:val="00DF3DEA"/>
    <w:rsid w:val="00E41138"/>
    <w:rsid w:val="00E46E17"/>
    <w:rsid w:val="00E56B7E"/>
    <w:rsid w:val="00E67D3C"/>
    <w:rsid w:val="00E829C7"/>
    <w:rsid w:val="00EA43B5"/>
    <w:rsid w:val="00EA6B82"/>
    <w:rsid w:val="00EC37E8"/>
    <w:rsid w:val="00EC4D3E"/>
    <w:rsid w:val="00EC5B1D"/>
    <w:rsid w:val="00EE319F"/>
    <w:rsid w:val="00EF2EC8"/>
    <w:rsid w:val="00EF4C14"/>
    <w:rsid w:val="00EF65E1"/>
    <w:rsid w:val="00F002F1"/>
    <w:rsid w:val="00F057DF"/>
    <w:rsid w:val="00F07D9D"/>
    <w:rsid w:val="00F3352C"/>
    <w:rsid w:val="00F40505"/>
    <w:rsid w:val="00FB5945"/>
    <w:rsid w:val="00FE1536"/>
    <w:rsid w:val="00FF667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D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34B5A"/>
    <w:pPr>
      <w:widowControl w:val="0"/>
      <w:autoSpaceDE w:val="0"/>
      <w:autoSpaceDN w:val="0"/>
      <w:adjustRightInd w:val="0"/>
    </w:pPr>
    <w:rPr>
      <w:rFonts w:ascii="宋体" w:eastAsia="宋体" w:cs="宋体"/>
      <w:color w:val="000000"/>
      <w:kern w:val="0"/>
      <w:sz w:val="24"/>
      <w:szCs w:val="24"/>
    </w:rPr>
  </w:style>
  <w:style w:type="paragraph" w:styleId="a3">
    <w:name w:val="header"/>
    <w:basedOn w:val="a"/>
    <w:link w:val="Char"/>
    <w:uiPriority w:val="99"/>
    <w:unhideWhenUsed/>
    <w:rsid w:val="006D1F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1FA4"/>
    <w:rPr>
      <w:sz w:val="18"/>
      <w:szCs w:val="18"/>
    </w:rPr>
  </w:style>
  <w:style w:type="paragraph" w:styleId="a4">
    <w:name w:val="footer"/>
    <w:basedOn w:val="a"/>
    <w:link w:val="Char0"/>
    <w:uiPriority w:val="99"/>
    <w:unhideWhenUsed/>
    <w:rsid w:val="006D1FA4"/>
    <w:pPr>
      <w:tabs>
        <w:tab w:val="center" w:pos="4153"/>
        <w:tab w:val="right" w:pos="8306"/>
      </w:tabs>
      <w:snapToGrid w:val="0"/>
      <w:jc w:val="left"/>
    </w:pPr>
    <w:rPr>
      <w:sz w:val="18"/>
      <w:szCs w:val="18"/>
    </w:rPr>
  </w:style>
  <w:style w:type="character" w:customStyle="1" w:styleId="Char0">
    <w:name w:val="页脚 Char"/>
    <w:basedOn w:val="a0"/>
    <w:link w:val="a4"/>
    <w:uiPriority w:val="99"/>
    <w:rsid w:val="006D1FA4"/>
    <w:rPr>
      <w:sz w:val="18"/>
      <w:szCs w:val="18"/>
    </w:rPr>
  </w:style>
  <w:style w:type="paragraph" w:styleId="a5">
    <w:name w:val="Balloon Text"/>
    <w:basedOn w:val="a"/>
    <w:link w:val="Char1"/>
    <w:uiPriority w:val="99"/>
    <w:semiHidden/>
    <w:unhideWhenUsed/>
    <w:rsid w:val="006D1FA4"/>
    <w:rPr>
      <w:sz w:val="18"/>
      <w:szCs w:val="18"/>
    </w:rPr>
  </w:style>
  <w:style w:type="character" w:customStyle="1" w:styleId="Char1">
    <w:name w:val="批注框文本 Char"/>
    <w:basedOn w:val="a0"/>
    <w:link w:val="a5"/>
    <w:uiPriority w:val="99"/>
    <w:semiHidden/>
    <w:rsid w:val="006D1FA4"/>
    <w:rPr>
      <w:sz w:val="18"/>
      <w:szCs w:val="18"/>
    </w:rPr>
  </w:style>
  <w:style w:type="table" w:styleId="a6">
    <w:name w:val="Table Grid"/>
    <w:basedOn w:val="a1"/>
    <w:uiPriority w:val="59"/>
    <w:rsid w:val="00536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annotation reference"/>
    <w:basedOn w:val="a0"/>
    <w:uiPriority w:val="99"/>
    <w:semiHidden/>
    <w:unhideWhenUsed/>
    <w:rsid w:val="00AE22E9"/>
    <w:rPr>
      <w:sz w:val="21"/>
      <w:szCs w:val="21"/>
    </w:rPr>
  </w:style>
  <w:style w:type="paragraph" w:styleId="a8">
    <w:name w:val="annotation text"/>
    <w:basedOn w:val="a"/>
    <w:link w:val="Char2"/>
    <w:uiPriority w:val="99"/>
    <w:semiHidden/>
    <w:unhideWhenUsed/>
    <w:rsid w:val="00AE22E9"/>
    <w:pPr>
      <w:jc w:val="left"/>
    </w:pPr>
  </w:style>
  <w:style w:type="character" w:customStyle="1" w:styleId="Char2">
    <w:name w:val="批注文字 Char"/>
    <w:basedOn w:val="a0"/>
    <w:link w:val="a8"/>
    <w:uiPriority w:val="99"/>
    <w:semiHidden/>
    <w:rsid w:val="00AE22E9"/>
  </w:style>
  <w:style w:type="paragraph" w:styleId="a9">
    <w:name w:val="annotation subject"/>
    <w:basedOn w:val="a8"/>
    <w:next w:val="a8"/>
    <w:link w:val="Char3"/>
    <w:uiPriority w:val="99"/>
    <w:semiHidden/>
    <w:unhideWhenUsed/>
    <w:rsid w:val="00AE22E9"/>
    <w:rPr>
      <w:b/>
      <w:bCs/>
    </w:rPr>
  </w:style>
  <w:style w:type="character" w:customStyle="1" w:styleId="Char3">
    <w:name w:val="批注主题 Char"/>
    <w:basedOn w:val="Char2"/>
    <w:link w:val="a9"/>
    <w:uiPriority w:val="99"/>
    <w:semiHidden/>
    <w:rsid w:val="00AE22E9"/>
    <w:rPr>
      <w:b/>
      <w:bCs/>
    </w:rPr>
  </w:style>
  <w:style w:type="paragraph" w:styleId="aa">
    <w:name w:val="Document Map"/>
    <w:basedOn w:val="a"/>
    <w:link w:val="Char4"/>
    <w:uiPriority w:val="99"/>
    <w:semiHidden/>
    <w:unhideWhenUsed/>
    <w:rsid w:val="00EE319F"/>
    <w:rPr>
      <w:rFonts w:ascii="宋体" w:eastAsia="宋体"/>
      <w:sz w:val="18"/>
      <w:szCs w:val="18"/>
    </w:rPr>
  </w:style>
  <w:style w:type="character" w:customStyle="1" w:styleId="Char4">
    <w:name w:val="文档结构图 Char"/>
    <w:basedOn w:val="a0"/>
    <w:link w:val="aa"/>
    <w:uiPriority w:val="99"/>
    <w:semiHidden/>
    <w:rsid w:val="00EE319F"/>
    <w:rPr>
      <w:rFonts w:ascii="宋体" w:eastAsia="宋体"/>
      <w:sz w:val="18"/>
      <w:szCs w:val="18"/>
    </w:rPr>
  </w:style>
  <w:style w:type="paragraph" w:styleId="ab">
    <w:name w:val="Revision"/>
    <w:hidden/>
    <w:uiPriority w:val="99"/>
    <w:semiHidden/>
    <w:rsid w:val="004452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0122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500</Words>
  <Characters>2856</Characters>
  <Application>Microsoft Office Word</Application>
  <DocSecurity>0</DocSecurity>
  <Lines>23</Lines>
  <Paragraphs>6</Paragraphs>
  <ScaleCrop>false</ScaleCrop>
  <Company>Lenovo</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龚岚</dc:creator>
  <cp:lastModifiedBy>macbook</cp:lastModifiedBy>
  <cp:revision>2</cp:revision>
  <cp:lastPrinted>2015-03-24T10:17:00Z</cp:lastPrinted>
  <dcterms:created xsi:type="dcterms:W3CDTF">2015-07-06T03:42:00Z</dcterms:created>
  <dcterms:modified xsi:type="dcterms:W3CDTF">2015-07-06T03:42:00Z</dcterms:modified>
</cp:coreProperties>
</file>