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FA" w:rsidRDefault="00F466FA" w:rsidP="00F466FA">
      <w:pPr>
        <w:pStyle w:val="Heading2"/>
        <w:ind w:firstLineChars="200" w:firstLine="31680"/>
      </w:pPr>
      <w:r>
        <w:rPr>
          <w:rFonts w:hint="eastAsia"/>
        </w:rPr>
        <w:t>西藏同信证券有限责任公司</w:t>
      </w:r>
    </w:p>
    <w:p w:rsidR="00F466FA" w:rsidRDefault="00F466FA" w:rsidP="0021653F">
      <w:pPr>
        <w:pStyle w:val="Heading2"/>
        <w:ind w:firstLineChars="200" w:firstLine="31680"/>
      </w:pPr>
      <w:r>
        <w:rPr>
          <w:rFonts w:hint="eastAsia"/>
        </w:rPr>
        <w:t>投资者适当性管理实施细则</w:t>
      </w:r>
    </w:p>
    <w:p w:rsidR="00F466FA" w:rsidRDefault="00F466FA" w:rsidP="0021653F">
      <w:pPr>
        <w:ind w:firstLine="31680"/>
      </w:pPr>
    </w:p>
    <w:p w:rsidR="00F466FA" w:rsidRPr="004D7944" w:rsidRDefault="00F466FA" w:rsidP="0021653F">
      <w:pPr>
        <w:ind w:firstLine="31680"/>
        <w:jc w:val="center"/>
        <w:rPr>
          <w:b/>
          <w:sz w:val="30"/>
          <w:szCs w:val="30"/>
        </w:rPr>
      </w:pPr>
      <w:r w:rsidRPr="004D7944">
        <w:rPr>
          <w:rFonts w:hint="eastAsia"/>
          <w:b/>
          <w:sz w:val="30"/>
          <w:szCs w:val="30"/>
        </w:rPr>
        <w:t>第一章</w:t>
      </w:r>
      <w:r w:rsidRPr="004D7944">
        <w:rPr>
          <w:b/>
          <w:sz w:val="30"/>
          <w:szCs w:val="30"/>
        </w:rPr>
        <w:t xml:space="preserve">  </w:t>
      </w:r>
      <w:r w:rsidRPr="004D7944">
        <w:rPr>
          <w:rFonts w:hint="eastAsia"/>
          <w:b/>
          <w:sz w:val="30"/>
          <w:szCs w:val="30"/>
        </w:rPr>
        <w:t>总</w:t>
      </w:r>
      <w:r>
        <w:rPr>
          <w:b/>
          <w:sz w:val="30"/>
          <w:szCs w:val="30"/>
        </w:rPr>
        <w:t xml:space="preserve">     </w:t>
      </w:r>
      <w:r w:rsidRPr="004D7944">
        <w:rPr>
          <w:rFonts w:hint="eastAsia"/>
          <w:b/>
          <w:sz w:val="30"/>
          <w:szCs w:val="30"/>
        </w:rPr>
        <w:t>则</w:t>
      </w:r>
    </w:p>
    <w:p w:rsidR="00F466FA" w:rsidRDefault="00F466FA" w:rsidP="0021653F">
      <w:pPr>
        <w:ind w:firstLine="31680"/>
      </w:pPr>
      <w:r>
        <w:rPr>
          <w:rFonts w:hint="eastAsia"/>
        </w:rPr>
        <w:t>第一条</w:t>
      </w:r>
      <w:r>
        <w:t xml:space="preserve"> </w:t>
      </w:r>
      <w:r>
        <w:rPr>
          <w:rFonts w:hint="eastAsia"/>
        </w:rPr>
        <w:t>为了进一步完善公司投资者适当性管理机制，保护投资者合法权益，根据《证券公司监督管理条例》、《</w:t>
      </w:r>
      <w:r w:rsidRPr="00585ED8">
        <w:rPr>
          <w:rFonts w:hint="eastAsia"/>
        </w:rPr>
        <w:t>证券公司投资者适当性制度指引</w:t>
      </w:r>
      <w:r>
        <w:rPr>
          <w:rFonts w:hint="eastAsia"/>
        </w:rPr>
        <w:t>》等法律法规，特制定本细则。</w:t>
      </w:r>
    </w:p>
    <w:p w:rsidR="00F466FA" w:rsidRDefault="00F466FA" w:rsidP="0021653F">
      <w:pPr>
        <w:ind w:firstLine="31680"/>
      </w:pPr>
      <w:r>
        <w:rPr>
          <w:rFonts w:hint="eastAsia"/>
        </w:rPr>
        <w:t>第二条</w:t>
      </w:r>
      <w:r>
        <w:t xml:space="preserve"> </w:t>
      </w:r>
      <w:r w:rsidRPr="00867729">
        <w:rPr>
          <w:rFonts w:hint="eastAsia"/>
        </w:rPr>
        <w:t>公司向客户销售金融产品，或者以客户买入金融产品为目的提供投资顾问、融资融券、资产管理、柜台交易等金融服务，应当按照本</w:t>
      </w:r>
      <w:r>
        <w:rPr>
          <w:rFonts w:hint="eastAsia"/>
        </w:rPr>
        <w:t>细则</w:t>
      </w:r>
      <w:r w:rsidRPr="00867729">
        <w:rPr>
          <w:rFonts w:hint="eastAsia"/>
        </w:rPr>
        <w:t>的要求，向客户销售适当的金融产品或提供适当的金融服务。</w:t>
      </w:r>
    </w:p>
    <w:p w:rsidR="00F466FA" w:rsidRDefault="00F466FA" w:rsidP="0021653F">
      <w:pPr>
        <w:ind w:firstLine="31680"/>
      </w:pPr>
      <w:r w:rsidRPr="00867729">
        <w:rPr>
          <w:rFonts w:hint="eastAsia"/>
        </w:rPr>
        <w:t>本</w:t>
      </w:r>
      <w:r>
        <w:rPr>
          <w:rFonts w:hint="eastAsia"/>
        </w:rPr>
        <w:t>细则</w:t>
      </w:r>
      <w:r w:rsidRPr="00867729">
        <w:rPr>
          <w:rFonts w:hint="eastAsia"/>
        </w:rPr>
        <w:t>所称销售金融产品，包括销售本公司发行的金融产品和代销本公司以外的其他机构发行的金融产品。</w:t>
      </w:r>
    </w:p>
    <w:p w:rsidR="00F466FA" w:rsidRDefault="00F466FA" w:rsidP="0021653F">
      <w:pPr>
        <w:ind w:firstLine="31680"/>
      </w:pPr>
      <w:r w:rsidRPr="00AF4837">
        <w:rPr>
          <w:rFonts w:hint="eastAsia"/>
        </w:rPr>
        <w:t>公司仅执行客户买卖公开市场交易的股票、基金、债券等交易指令的，不适用本</w:t>
      </w:r>
      <w:r>
        <w:rPr>
          <w:rFonts w:hint="eastAsia"/>
        </w:rPr>
        <w:t>细则。</w:t>
      </w:r>
    </w:p>
    <w:p w:rsidR="00F466FA" w:rsidRDefault="00F466FA" w:rsidP="0021653F">
      <w:pPr>
        <w:ind w:firstLine="31680"/>
      </w:pPr>
      <w:r>
        <w:rPr>
          <w:rFonts w:hint="eastAsia"/>
        </w:rPr>
        <w:t>第三条</w:t>
      </w:r>
      <w:r>
        <w:t xml:space="preserve"> </w:t>
      </w:r>
      <w:r>
        <w:rPr>
          <w:rFonts w:hint="eastAsia"/>
        </w:rPr>
        <w:t>公司董事会对投资者适当性管理工作承担最终责任。</w:t>
      </w:r>
    </w:p>
    <w:p w:rsidR="00F466FA" w:rsidRDefault="00F466FA" w:rsidP="0021653F">
      <w:pPr>
        <w:ind w:firstLine="31680"/>
      </w:pPr>
      <w:r>
        <w:rPr>
          <w:rFonts w:hint="eastAsia"/>
        </w:rPr>
        <w:t>产品设计、研发部门应全面、准确披露其产品（特别是《</w:t>
      </w:r>
      <w:r w:rsidRPr="006B0572">
        <w:rPr>
          <w:rFonts w:hint="eastAsia"/>
        </w:rPr>
        <w:t>复杂或高风险金融产品清单</w:t>
      </w:r>
      <w:r>
        <w:rPr>
          <w:rFonts w:hint="eastAsia"/>
        </w:rPr>
        <w:t>》（附件</w:t>
      </w:r>
      <w:r>
        <w:t>9</w:t>
      </w:r>
      <w:r>
        <w:rPr>
          <w:rFonts w:hint="eastAsia"/>
        </w:rPr>
        <w:t>）中所列明的产品）的各项风险要素，便于评审部门和投资者正确评估产品的风险。</w:t>
      </w:r>
    </w:p>
    <w:p w:rsidR="00F466FA" w:rsidRDefault="00F466FA" w:rsidP="0021653F">
      <w:pPr>
        <w:ind w:firstLine="31680"/>
      </w:pPr>
      <w:r>
        <w:rPr>
          <w:rFonts w:hint="eastAsia"/>
        </w:rPr>
        <w:t>产品评审部门应结合各项风险要素，合理地评估、确定产品的资质和风险等级。</w:t>
      </w:r>
    </w:p>
    <w:p w:rsidR="00F466FA" w:rsidRDefault="00F466FA" w:rsidP="0021653F">
      <w:pPr>
        <w:ind w:firstLine="31680"/>
      </w:pPr>
      <w:r>
        <w:rPr>
          <w:rFonts w:hint="eastAsia"/>
        </w:rPr>
        <w:t>各分支机构具体负责履行投资者适当性管理职责，承担适当性管理职责的业务部门（包括但不限于</w:t>
      </w:r>
      <w:r w:rsidRPr="00867729">
        <w:rPr>
          <w:rFonts w:hint="eastAsia"/>
        </w:rPr>
        <w:t>投资顾问、融资融券、资产管理</w:t>
      </w:r>
      <w:r>
        <w:rPr>
          <w:rFonts w:hint="eastAsia"/>
        </w:rPr>
        <w:t>等部门）对分支机构适当性管理工作实施集中、统一管理，并协助各分支机构开展适当性管理工作。</w:t>
      </w:r>
    </w:p>
    <w:p w:rsidR="00F466FA" w:rsidRDefault="00F466FA" w:rsidP="0021653F">
      <w:pPr>
        <w:ind w:firstLine="31680"/>
      </w:pPr>
      <w:r>
        <w:rPr>
          <w:rFonts w:hint="eastAsia"/>
        </w:rPr>
        <w:t>第四条</w:t>
      </w:r>
      <w:r>
        <w:t xml:space="preserve"> </w:t>
      </w:r>
      <w:r>
        <w:rPr>
          <w:rFonts w:hint="eastAsia"/>
        </w:rPr>
        <w:t>合规风控中心对公司投资者适当性机制的建立和执行情况进行监督和检查。</w:t>
      </w:r>
    </w:p>
    <w:p w:rsidR="00F466FA" w:rsidRDefault="00F466FA" w:rsidP="0021653F">
      <w:pPr>
        <w:ind w:firstLine="31680"/>
      </w:pPr>
      <w:r>
        <w:rPr>
          <w:rFonts w:hint="eastAsia"/>
        </w:rPr>
        <w:t>稽核审计部在定期或不定期的业务稽核审查中应特别关注投资者适当性管理工作的开展情况。</w:t>
      </w:r>
    </w:p>
    <w:p w:rsidR="00F466FA" w:rsidRPr="004D7944" w:rsidRDefault="00F466FA" w:rsidP="0021653F">
      <w:pPr>
        <w:ind w:firstLine="31680"/>
        <w:jc w:val="center"/>
        <w:rPr>
          <w:b/>
          <w:sz w:val="30"/>
          <w:szCs w:val="30"/>
        </w:rPr>
      </w:pPr>
      <w:r w:rsidRPr="00F45701">
        <w:rPr>
          <w:rFonts w:hint="eastAsia"/>
          <w:b/>
          <w:sz w:val="30"/>
          <w:szCs w:val="30"/>
        </w:rPr>
        <w:t>第二章</w:t>
      </w:r>
      <w:r w:rsidRPr="00F45701">
        <w:rPr>
          <w:b/>
          <w:sz w:val="30"/>
          <w:szCs w:val="30"/>
        </w:rPr>
        <w:t xml:space="preserve"> </w:t>
      </w:r>
      <w:r w:rsidRPr="00F45701">
        <w:rPr>
          <w:rFonts w:hint="eastAsia"/>
          <w:b/>
          <w:sz w:val="30"/>
          <w:szCs w:val="30"/>
        </w:rPr>
        <w:t>了解客户的标准、程序和方法</w:t>
      </w:r>
    </w:p>
    <w:p w:rsidR="00F466FA" w:rsidRDefault="00F466FA" w:rsidP="0021653F">
      <w:pPr>
        <w:ind w:firstLine="31680"/>
      </w:pPr>
      <w:r>
        <w:rPr>
          <w:rFonts w:hint="eastAsia"/>
        </w:rPr>
        <w:t>第五条</w:t>
      </w:r>
      <w:r>
        <w:t xml:space="preserve"> </w:t>
      </w:r>
      <w:r w:rsidRPr="009C0E79">
        <w:rPr>
          <w:rFonts w:hint="eastAsia"/>
        </w:rPr>
        <w:t>公司与客户建立业务关系时，应当了解客户的姓名（或名称）、身份、住址、职业等基本信息。</w:t>
      </w:r>
      <w:r w:rsidRPr="00F45701">
        <w:rPr>
          <w:rFonts w:hint="eastAsia"/>
        </w:rPr>
        <w:t>上述信息应当在柜面管理系统和客户关系管理系统中详细记录。</w:t>
      </w:r>
    </w:p>
    <w:p w:rsidR="00F466FA" w:rsidRDefault="00F466FA" w:rsidP="0021653F">
      <w:pPr>
        <w:ind w:firstLine="31680"/>
      </w:pPr>
      <w:r>
        <w:rPr>
          <w:rFonts w:hint="eastAsia"/>
        </w:rPr>
        <w:t>第六条</w:t>
      </w:r>
      <w:r>
        <w:t xml:space="preserve"> </w:t>
      </w:r>
      <w:r>
        <w:rPr>
          <w:rFonts w:hint="eastAsia"/>
        </w:rPr>
        <w:t>公司向客户销售金融产品或提供金融服务，除本细则第五条规定的基本信息外，还应当了解客户以下信息：</w:t>
      </w:r>
    </w:p>
    <w:p w:rsidR="00F466FA" w:rsidRDefault="00F466FA" w:rsidP="0021653F">
      <w:pPr>
        <w:ind w:firstLine="31680"/>
      </w:pPr>
      <w:r>
        <w:rPr>
          <w:rFonts w:hint="eastAsia"/>
        </w:rPr>
        <w:t>（一）财务状况，包括收入来源和数额、净资产、资产数额（包括金融类资产和不动产）、未清偿的数额较大的债务；</w:t>
      </w:r>
    </w:p>
    <w:p w:rsidR="00F466FA" w:rsidRDefault="00F466FA" w:rsidP="0021653F">
      <w:pPr>
        <w:ind w:firstLine="31680"/>
      </w:pPr>
      <w:r>
        <w:rPr>
          <w:rFonts w:hint="eastAsia"/>
        </w:rPr>
        <w:t>（二）投资知识，包括曾经从事与金融产品投资相关的职业、对相关市场与产品、服务的理解及认知程度；</w:t>
      </w:r>
    </w:p>
    <w:p w:rsidR="00F466FA" w:rsidRDefault="00F466FA" w:rsidP="0021653F">
      <w:pPr>
        <w:ind w:firstLine="31680"/>
      </w:pPr>
      <w:r>
        <w:rPr>
          <w:rFonts w:hint="eastAsia"/>
        </w:rPr>
        <w:t>（三）投资经验，包括曾经投资过的金融产品的性质、品种、金额、交易频率及持续时间；</w:t>
      </w:r>
    </w:p>
    <w:p w:rsidR="00F466FA" w:rsidRDefault="00F466FA" w:rsidP="0021653F">
      <w:pPr>
        <w:ind w:firstLine="31680"/>
      </w:pPr>
      <w:r>
        <w:rPr>
          <w:rFonts w:hint="eastAsia"/>
        </w:rPr>
        <w:t>（四）投资目标，包括投资期限、投资品种、收益预期；</w:t>
      </w:r>
    </w:p>
    <w:p w:rsidR="00F466FA" w:rsidRDefault="00F466FA" w:rsidP="0021653F">
      <w:pPr>
        <w:ind w:firstLine="31680"/>
      </w:pPr>
      <w:r>
        <w:rPr>
          <w:rFonts w:hint="eastAsia"/>
        </w:rPr>
        <w:t>（五）风险偏好；</w:t>
      </w:r>
    </w:p>
    <w:p w:rsidR="00F466FA" w:rsidRDefault="00F466FA" w:rsidP="0021653F">
      <w:pPr>
        <w:ind w:firstLine="31680"/>
      </w:pPr>
      <w:r>
        <w:rPr>
          <w:rFonts w:hint="eastAsia"/>
        </w:rPr>
        <w:t>（六）其他必要信息。</w:t>
      </w:r>
    </w:p>
    <w:p w:rsidR="00F466FA" w:rsidRDefault="00F466FA" w:rsidP="0021653F">
      <w:pPr>
        <w:ind w:firstLine="31680"/>
      </w:pPr>
      <w:r>
        <w:rPr>
          <w:rFonts w:hint="eastAsia"/>
        </w:rPr>
        <w:t>第七条</w:t>
      </w:r>
      <w:r>
        <w:t xml:space="preserve"> </w:t>
      </w:r>
      <w:r>
        <w:rPr>
          <w:rFonts w:hint="eastAsia"/>
        </w:rPr>
        <w:t>产品销售服务人员应当要求</w:t>
      </w:r>
      <w:r w:rsidRPr="006677C3">
        <w:rPr>
          <w:rFonts w:hint="eastAsia"/>
        </w:rPr>
        <w:t>客户</w:t>
      </w:r>
      <w:r>
        <w:rPr>
          <w:rFonts w:hint="eastAsia"/>
        </w:rPr>
        <w:t>认真填写《客户基本信息表》（附件</w:t>
      </w:r>
      <w:r>
        <w:t>1</w:t>
      </w:r>
      <w:r>
        <w:rPr>
          <w:rFonts w:hint="eastAsia"/>
        </w:rPr>
        <w:t>），</w:t>
      </w:r>
      <w:r w:rsidRPr="006677C3">
        <w:rPr>
          <w:rFonts w:hint="eastAsia"/>
        </w:rPr>
        <w:t>如实提供本</w:t>
      </w:r>
      <w:r>
        <w:rPr>
          <w:rFonts w:hint="eastAsia"/>
        </w:rPr>
        <w:t>细则</w:t>
      </w:r>
      <w:r w:rsidRPr="006677C3">
        <w:rPr>
          <w:rFonts w:hint="eastAsia"/>
        </w:rPr>
        <w:t>第</w:t>
      </w:r>
      <w:r>
        <w:rPr>
          <w:rFonts w:hint="eastAsia"/>
        </w:rPr>
        <w:t>五</w:t>
      </w:r>
      <w:r w:rsidRPr="006677C3">
        <w:rPr>
          <w:rFonts w:hint="eastAsia"/>
        </w:rPr>
        <w:t>条和第</w:t>
      </w:r>
      <w:r>
        <w:rPr>
          <w:rFonts w:hint="eastAsia"/>
        </w:rPr>
        <w:t>六条规定的信息及相关证明材料等材料</w:t>
      </w:r>
      <w:r w:rsidRPr="006677C3">
        <w:rPr>
          <w:rFonts w:hint="eastAsia"/>
        </w:rPr>
        <w:t>。</w:t>
      </w:r>
    </w:p>
    <w:p w:rsidR="00F466FA" w:rsidRDefault="00F466FA" w:rsidP="0021653F">
      <w:pPr>
        <w:ind w:firstLine="31680"/>
      </w:pPr>
      <w:r w:rsidRPr="006677C3">
        <w:rPr>
          <w:rFonts w:hint="eastAsia"/>
        </w:rPr>
        <w:t>客户不提供信息或提供的信息不完整的，</w:t>
      </w:r>
      <w:r>
        <w:rPr>
          <w:rFonts w:hint="eastAsia"/>
        </w:rPr>
        <w:t>产品销售服务人员</w:t>
      </w:r>
      <w:r w:rsidRPr="006677C3">
        <w:rPr>
          <w:rFonts w:hint="eastAsia"/>
        </w:rPr>
        <w:t>应当</w:t>
      </w:r>
      <w:r>
        <w:rPr>
          <w:rFonts w:hint="eastAsia"/>
        </w:rPr>
        <w:t>要求客户签署《客户未按要求提供信息的风险揭示书》（附件</w:t>
      </w:r>
      <w:r>
        <w:t>7</w:t>
      </w:r>
      <w:r>
        <w:rPr>
          <w:rFonts w:hint="eastAsia"/>
        </w:rPr>
        <w:t>），明确</w:t>
      </w:r>
      <w:r w:rsidRPr="006677C3">
        <w:rPr>
          <w:rFonts w:hint="eastAsia"/>
        </w:rPr>
        <w:t>告知客户无法确定其投资者类别或风险承受能力等级，由此产生的后果由客户自行承担。</w:t>
      </w:r>
      <w:r w:rsidRPr="00F45701">
        <w:rPr>
          <w:rFonts w:hint="eastAsia"/>
        </w:rPr>
        <w:t>告知过程应当留痕。</w:t>
      </w:r>
    </w:p>
    <w:p w:rsidR="00F466FA" w:rsidRPr="004D1370" w:rsidRDefault="00F466FA" w:rsidP="0021653F">
      <w:pPr>
        <w:tabs>
          <w:tab w:val="left" w:pos="0"/>
        </w:tabs>
        <w:spacing w:line="660" w:lineRule="exact"/>
        <w:ind w:firstLineChars="196" w:firstLine="31680"/>
      </w:pPr>
      <w:r>
        <w:rPr>
          <w:rFonts w:hint="eastAsia"/>
        </w:rPr>
        <w:t>第八条</w:t>
      </w:r>
      <w:r>
        <w:t xml:space="preserve"> </w:t>
      </w:r>
      <w:r w:rsidRPr="004D1370">
        <w:rPr>
          <w:rFonts w:hint="eastAsia"/>
        </w:rPr>
        <w:t>公司根据了解的客户信息，</w:t>
      </w:r>
      <w:r>
        <w:rPr>
          <w:rFonts w:hint="eastAsia"/>
        </w:rPr>
        <w:t>可</w:t>
      </w:r>
      <w:r w:rsidRPr="004D1370">
        <w:rPr>
          <w:rFonts w:hint="eastAsia"/>
        </w:rPr>
        <w:t>将符合以下条件的客户划分为专业投资者：</w:t>
      </w:r>
    </w:p>
    <w:p w:rsidR="00F466FA" w:rsidRPr="004D1370" w:rsidRDefault="00F466FA" w:rsidP="0021653F">
      <w:pPr>
        <w:spacing w:line="660" w:lineRule="exact"/>
        <w:ind w:firstLine="31680"/>
      </w:pPr>
      <w:r w:rsidRPr="004D1370">
        <w:rPr>
          <w:rFonts w:hint="eastAsia"/>
        </w:rPr>
        <w:t>（一）金融机构或其他经认可的专业投资机构及其分支机构，包括商业银行、证券期货经营机构、基金管理公司、保险机构、信托投资公司、财务公司、政府投资机构及合格境外机构投资者等；</w:t>
      </w:r>
    </w:p>
    <w:p w:rsidR="00F466FA" w:rsidRPr="004D1370" w:rsidRDefault="00F466FA" w:rsidP="0021653F">
      <w:pPr>
        <w:spacing w:line="660" w:lineRule="exact"/>
        <w:ind w:firstLine="31680"/>
      </w:pPr>
      <w:r w:rsidRPr="004D1370">
        <w:rPr>
          <w:rFonts w:hint="eastAsia"/>
        </w:rPr>
        <w:t>（二）由金融机构或其他经认可的专业投资机构担任管理人的社保基金、养老基金、投资者保护基金、企业年金、信托计划、集合资产管理计划、证券投资基金、商业银行及保险理财产品等。</w:t>
      </w:r>
    </w:p>
    <w:p w:rsidR="00F466FA" w:rsidRPr="004D1370" w:rsidRDefault="00F466FA" w:rsidP="0021653F">
      <w:pPr>
        <w:tabs>
          <w:tab w:val="left" w:pos="0"/>
        </w:tabs>
        <w:spacing w:line="660" w:lineRule="exact"/>
        <w:ind w:firstLine="31680"/>
      </w:pPr>
      <w:r w:rsidRPr="004D1370">
        <w:rPr>
          <w:rFonts w:hint="eastAsia"/>
        </w:rPr>
        <w:t>（三）符合以下全部条件的其他机构：</w:t>
      </w:r>
    </w:p>
    <w:p w:rsidR="00F466FA" w:rsidRPr="004D1370" w:rsidRDefault="00F466FA" w:rsidP="0021653F">
      <w:pPr>
        <w:spacing w:line="660" w:lineRule="exact"/>
        <w:ind w:firstLine="31680"/>
      </w:pPr>
      <w:r w:rsidRPr="004D1370">
        <w:t>1</w:t>
      </w:r>
      <w:r w:rsidRPr="004D1370">
        <w:rPr>
          <w:rFonts w:hint="eastAsia"/>
        </w:rPr>
        <w:t>、最近一年的净资产不低于</w:t>
      </w:r>
      <w:r w:rsidRPr="004D1370">
        <w:t>2000</w:t>
      </w:r>
      <w:r w:rsidRPr="004D1370">
        <w:rPr>
          <w:rFonts w:hint="eastAsia"/>
        </w:rPr>
        <w:t>万元人民币；</w:t>
      </w:r>
    </w:p>
    <w:p w:rsidR="00F466FA" w:rsidRPr="004D1370" w:rsidRDefault="00F466FA" w:rsidP="0021653F">
      <w:pPr>
        <w:spacing w:line="660" w:lineRule="exact"/>
        <w:ind w:firstLine="31680"/>
      </w:pPr>
      <w:r w:rsidRPr="004D1370">
        <w:t>2</w:t>
      </w:r>
      <w:r w:rsidRPr="004D1370">
        <w:rPr>
          <w:rFonts w:hint="eastAsia"/>
        </w:rPr>
        <w:t>、金融类资产不低于</w:t>
      </w:r>
      <w:r w:rsidRPr="004D1370">
        <w:t>1000</w:t>
      </w:r>
      <w:r w:rsidRPr="004D1370">
        <w:rPr>
          <w:rFonts w:hint="eastAsia"/>
        </w:rPr>
        <w:t>万元人民币；</w:t>
      </w:r>
    </w:p>
    <w:p w:rsidR="00F466FA" w:rsidRPr="004D1370" w:rsidRDefault="00F466FA" w:rsidP="0021653F">
      <w:pPr>
        <w:spacing w:line="660" w:lineRule="exact"/>
        <w:ind w:firstLine="31680"/>
      </w:pPr>
      <w:r w:rsidRPr="004D1370">
        <w:t>3</w:t>
      </w:r>
      <w:r w:rsidRPr="004D1370">
        <w:rPr>
          <w:rFonts w:hint="eastAsia"/>
        </w:rPr>
        <w:t>、具有</w:t>
      </w:r>
      <w:r w:rsidRPr="004D1370">
        <w:t>2</w:t>
      </w:r>
      <w:r w:rsidRPr="004D1370">
        <w:rPr>
          <w:rFonts w:hint="eastAsia"/>
        </w:rPr>
        <w:t>年及以上从事证券、期货、黄金、外汇等相关市场投资交易的经历；</w:t>
      </w:r>
    </w:p>
    <w:p w:rsidR="00F466FA" w:rsidRPr="004D1370" w:rsidRDefault="00F466FA" w:rsidP="0021653F">
      <w:pPr>
        <w:spacing w:line="660" w:lineRule="exact"/>
        <w:ind w:firstLine="31680"/>
      </w:pPr>
      <w:r w:rsidRPr="004D1370">
        <w:t>4</w:t>
      </w:r>
      <w:r w:rsidRPr="004D1370">
        <w:rPr>
          <w:rFonts w:hint="eastAsia"/>
        </w:rPr>
        <w:t>、风险承受能力等级经公司评估为最高等级。</w:t>
      </w:r>
    </w:p>
    <w:p w:rsidR="00F466FA" w:rsidRPr="004D1370" w:rsidRDefault="00F466FA" w:rsidP="0021653F">
      <w:pPr>
        <w:spacing w:line="660" w:lineRule="exact"/>
        <w:ind w:firstLine="31680"/>
      </w:pPr>
      <w:r w:rsidRPr="004D1370">
        <w:rPr>
          <w:rFonts w:hint="eastAsia"/>
        </w:rPr>
        <w:t>（四）符合以下全部条件的自然人：</w:t>
      </w:r>
    </w:p>
    <w:p w:rsidR="00F466FA" w:rsidRPr="004D1370" w:rsidRDefault="00F466FA" w:rsidP="0021653F">
      <w:pPr>
        <w:spacing w:line="660" w:lineRule="exact"/>
        <w:ind w:firstLine="31680"/>
      </w:pPr>
      <w:r w:rsidRPr="004D1370">
        <w:t>1</w:t>
      </w:r>
      <w:r w:rsidRPr="004D1370">
        <w:rPr>
          <w:rFonts w:hint="eastAsia"/>
        </w:rPr>
        <w:t>、金融类资产不低于</w:t>
      </w:r>
      <w:r w:rsidRPr="004D1370">
        <w:t>500</w:t>
      </w:r>
      <w:r w:rsidRPr="004D1370">
        <w:rPr>
          <w:rFonts w:hint="eastAsia"/>
        </w:rPr>
        <w:t>万元人民币；</w:t>
      </w:r>
    </w:p>
    <w:p w:rsidR="00F466FA" w:rsidRPr="004D1370" w:rsidRDefault="00F466FA" w:rsidP="0021653F">
      <w:pPr>
        <w:spacing w:line="660" w:lineRule="exact"/>
        <w:ind w:firstLine="31680"/>
      </w:pPr>
      <w:r w:rsidRPr="004D1370">
        <w:t>2</w:t>
      </w:r>
      <w:r w:rsidRPr="004D1370">
        <w:rPr>
          <w:rFonts w:hint="eastAsia"/>
        </w:rPr>
        <w:t>、具有</w:t>
      </w:r>
      <w:r w:rsidRPr="004D1370">
        <w:t>2</w:t>
      </w:r>
      <w:r w:rsidRPr="004D1370">
        <w:rPr>
          <w:rFonts w:hint="eastAsia"/>
        </w:rPr>
        <w:t>年及以上从事证券、期货、黄金、外汇等相关市场投资交易的经历，且过去</w:t>
      </w:r>
      <w:r w:rsidRPr="004D1370">
        <w:t>12</w:t>
      </w:r>
      <w:r w:rsidRPr="004D1370">
        <w:rPr>
          <w:rFonts w:hint="eastAsia"/>
        </w:rPr>
        <w:t>个月中证券交易不少于</w:t>
      </w:r>
      <w:r w:rsidRPr="004D1370">
        <w:t>40</w:t>
      </w:r>
      <w:r w:rsidRPr="004D1370">
        <w:rPr>
          <w:rFonts w:hint="eastAsia"/>
        </w:rPr>
        <w:t>次；或者具有</w:t>
      </w:r>
      <w:r w:rsidRPr="004D1370">
        <w:t>2</w:t>
      </w:r>
      <w:r w:rsidRPr="004D1370">
        <w:rPr>
          <w:rFonts w:hint="eastAsia"/>
        </w:rPr>
        <w:t>年及以上在专业投资机构从事金融产品或金融服务的设计、投资或保险精算、金融风险管理工作经历；</w:t>
      </w:r>
    </w:p>
    <w:p w:rsidR="00F466FA" w:rsidRPr="004D1370" w:rsidRDefault="00F466FA" w:rsidP="0021653F">
      <w:pPr>
        <w:spacing w:line="660" w:lineRule="exact"/>
        <w:ind w:firstLine="31680"/>
      </w:pPr>
      <w:r w:rsidRPr="004D1370">
        <w:t>3</w:t>
      </w:r>
      <w:r w:rsidRPr="004D1370">
        <w:rPr>
          <w:rFonts w:hint="eastAsia"/>
        </w:rPr>
        <w:t>、风险承受能力等级经公司评估为最高等级。</w:t>
      </w:r>
    </w:p>
    <w:p w:rsidR="00F466FA" w:rsidRDefault="00F466FA" w:rsidP="0063343C">
      <w:pPr>
        <w:spacing w:line="660" w:lineRule="exact"/>
        <w:ind w:firstLineChars="0" w:firstLine="0"/>
      </w:pPr>
      <w:r>
        <w:rPr>
          <w:rFonts w:hint="eastAsia"/>
        </w:rPr>
        <w:t>第九条</w:t>
      </w:r>
      <w:r>
        <w:t xml:space="preserve"> </w:t>
      </w:r>
      <w:r>
        <w:rPr>
          <w:rFonts w:hint="eastAsia"/>
        </w:rPr>
        <w:t>对于</w:t>
      </w:r>
      <w:r w:rsidRPr="0063343C">
        <w:rPr>
          <w:rFonts w:hint="eastAsia"/>
        </w:rPr>
        <w:t>符合本</w:t>
      </w:r>
      <w:r>
        <w:rPr>
          <w:rFonts w:hint="eastAsia"/>
        </w:rPr>
        <w:t>细则</w:t>
      </w:r>
      <w:r w:rsidRPr="0063343C">
        <w:rPr>
          <w:rFonts w:hint="eastAsia"/>
        </w:rPr>
        <w:t>第</w:t>
      </w:r>
      <w:r>
        <w:rPr>
          <w:rFonts w:hint="eastAsia"/>
        </w:rPr>
        <w:t>八</w:t>
      </w:r>
      <w:r w:rsidRPr="0063343C">
        <w:rPr>
          <w:rFonts w:hint="eastAsia"/>
        </w:rPr>
        <w:t>条第（一）、（二）项条件的专业投资者客户，</w:t>
      </w:r>
      <w:r>
        <w:rPr>
          <w:rFonts w:hint="eastAsia"/>
        </w:rPr>
        <w:t>产品销售服务人员</w:t>
      </w:r>
      <w:r w:rsidRPr="0063343C">
        <w:rPr>
          <w:rFonts w:hint="eastAsia"/>
        </w:rPr>
        <w:t>应当要求其提供营业执照、经营金融业务许可证等身份证明材料。</w:t>
      </w:r>
    </w:p>
    <w:p w:rsidR="00F466FA" w:rsidRDefault="00F466FA" w:rsidP="0021653F">
      <w:pPr>
        <w:ind w:firstLine="31680"/>
      </w:pPr>
      <w:r>
        <w:rPr>
          <w:rFonts w:hint="eastAsia"/>
        </w:rPr>
        <w:t>对于</w:t>
      </w:r>
      <w:r w:rsidRPr="0063343C">
        <w:rPr>
          <w:rFonts w:hint="eastAsia"/>
        </w:rPr>
        <w:t>符合</w:t>
      </w:r>
      <w:r>
        <w:rPr>
          <w:rFonts w:hint="eastAsia"/>
        </w:rPr>
        <w:t>前述条件、不愿意以专业投资者身份参与交易或服务的</w:t>
      </w:r>
      <w:r w:rsidRPr="0063343C">
        <w:rPr>
          <w:rFonts w:hint="eastAsia"/>
        </w:rPr>
        <w:t>客户</w:t>
      </w:r>
      <w:r>
        <w:rPr>
          <w:rFonts w:hint="eastAsia"/>
        </w:rPr>
        <w:t>，公司可根据客户的要求将其划分为非专业投资者。</w:t>
      </w:r>
    </w:p>
    <w:p w:rsidR="00F466FA" w:rsidRPr="004D18B2" w:rsidRDefault="00F466FA" w:rsidP="0021653F">
      <w:pPr>
        <w:tabs>
          <w:tab w:val="left" w:pos="0"/>
        </w:tabs>
        <w:spacing w:line="660" w:lineRule="exact"/>
        <w:ind w:firstLineChars="196" w:firstLine="31680"/>
      </w:pPr>
      <w:r>
        <w:rPr>
          <w:rFonts w:hint="eastAsia"/>
        </w:rPr>
        <w:t>第十条</w:t>
      </w:r>
      <w:r>
        <w:t xml:space="preserve"> </w:t>
      </w:r>
      <w:r w:rsidRPr="004D18B2">
        <w:rPr>
          <w:rFonts w:hint="eastAsia"/>
        </w:rPr>
        <w:t>将符合</w:t>
      </w:r>
      <w:r>
        <w:rPr>
          <w:rFonts w:hint="eastAsia"/>
        </w:rPr>
        <w:t>本细则</w:t>
      </w:r>
      <w:r w:rsidRPr="004D18B2">
        <w:rPr>
          <w:rFonts w:hint="eastAsia"/>
        </w:rPr>
        <w:t>第</w:t>
      </w:r>
      <w:r>
        <w:rPr>
          <w:rFonts w:hint="eastAsia"/>
        </w:rPr>
        <w:t>八</w:t>
      </w:r>
      <w:r w:rsidRPr="004D18B2">
        <w:rPr>
          <w:rFonts w:hint="eastAsia"/>
        </w:rPr>
        <w:t>条第（三）、（四）项条件的客户划分为专业投资者，</w:t>
      </w:r>
      <w:r>
        <w:rPr>
          <w:rFonts w:hint="eastAsia"/>
        </w:rPr>
        <w:t>需严格</w:t>
      </w:r>
      <w:r w:rsidRPr="004D18B2">
        <w:rPr>
          <w:rFonts w:hint="eastAsia"/>
        </w:rPr>
        <w:t>遵循以下程序：</w:t>
      </w:r>
    </w:p>
    <w:p w:rsidR="00F466FA" w:rsidRPr="004D18B2" w:rsidRDefault="00F466FA" w:rsidP="0021653F">
      <w:pPr>
        <w:spacing w:line="660" w:lineRule="exact"/>
        <w:ind w:firstLine="31680"/>
      </w:pPr>
      <w:r w:rsidRPr="004D18B2">
        <w:rPr>
          <w:rFonts w:hint="eastAsia"/>
        </w:rPr>
        <w:t>（一）客户向公司提出书面申请，并提供财产状况、交易情况、工作经历等证明材料；</w:t>
      </w:r>
    </w:p>
    <w:p w:rsidR="00F466FA" w:rsidRPr="004D18B2" w:rsidRDefault="00F466FA" w:rsidP="0021653F">
      <w:pPr>
        <w:tabs>
          <w:tab w:val="left" w:pos="0"/>
        </w:tabs>
        <w:spacing w:line="660" w:lineRule="exact"/>
        <w:ind w:firstLine="31680"/>
      </w:pPr>
      <w:r w:rsidRPr="004D18B2">
        <w:rPr>
          <w:rFonts w:hint="eastAsia"/>
        </w:rPr>
        <w:t>（二）客户以书面方式承诺，已了解公司对专业投资者和非专业投资者在履行投资者适当性职责方面的差别；</w:t>
      </w:r>
    </w:p>
    <w:p w:rsidR="00F466FA" w:rsidRDefault="00F466FA" w:rsidP="0021653F">
      <w:pPr>
        <w:spacing w:line="660" w:lineRule="exact"/>
        <w:ind w:firstLine="31680"/>
      </w:pPr>
      <w:r w:rsidRPr="004D18B2">
        <w:rPr>
          <w:rFonts w:hint="eastAsia"/>
        </w:rPr>
        <w:t>（三</w:t>
      </w:r>
      <w:r w:rsidRPr="00B31414">
        <w:rPr>
          <w:rFonts w:hint="eastAsia"/>
        </w:rPr>
        <w:t>）公司复核通过</w:t>
      </w:r>
      <w:r>
        <w:rPr>
          <w:rFonts w:hint="eastAsia"/>
        </w:rPr>
        <w:t>后书面告知客户。</w:t>
      </w:r>
    </w:p>
    <w:p w:rsidR="00F466FA" w:rsidRPr="004D18B2" w:rsidRDefault="00F466FA" w:rsidP="0021653F">
      <w:pPr>
        <w:spacing w:line="660" w:lineRule="exact"/>
        <w:ind w:firstLine="31680"/>
      </w:pPr>
      <w:r>
        <w:rPr>
          <w:rFonts w:hint="eastAsia"/>
        </w:rPr>
        <w:t>以上程序由客户与公司共同完成，客户需填写《专业投资者申请书》（附件</w:t>
      </w:r>
      <w:r>
        <w:t>2</w:t>
      </w:r>
      <w:r>
        <w:rPr>
          <w:rFonts w:hint="eastAsia"/>
        </w:rPr>
        <w:t>），公司复核程序应由营业部客服总监（营运总监）审核后，经营业部负责人复核。复核通过的，产品销售服务人员应要求客户认真阅读填写《专业投资者告知及确认书》（附件</w:t>
      </w:r>
      <w:r>
        <w:t>3</w:t>
      </w:r>
      <w:r>
        <w:rPr>
          <w:rFonts w:hint="eastAsia"/>
        </w:rPr>
        <w:t>），加盖营业部业务专用章。</w:t>
      </w:r>
    </w:p>
    <w:p w:rsidR="00F466FA" w:rsidRDefault="00F466FA" w:rsidP="0021653F">
      <w:pPr>
        <w:spacing w:line="660" w:lineRule="exact"/>
        <w:ind w:firstLine="31680"/>
      </w:pPr>
      <w:r w:rsidRPr="004D18B2">
        <w:rPr>
          <w:rFonts w:hint="eastAsia"/>
        </w:rPr>
        <w:t>符合</w:t>
      </w:r>
      <w:r>
        <w:rPr>
          <w:rFonts w:hint="eastAsia"/>
        </w:rPr>
        <w:t>本细则第八</w:t>
      </w:r>
      <w:r w:rsidRPr="004D18B2">
        <w:rPr>
          <w:rFonts w:hint="eastAsia"/>
        </w:rPr>
        <w:t>条第（三）、（四）项规定条件的客户</w:t>
      </w:r>
      <w:r>
        <w:rPr>
          <w:rFonts w:hint="eastAsia"/>
        </w:rPr>
        <w:t>，</w:t>
      </w:r>
      <w:r w:rsidRPr="004D18B2">
        <w:rPr>
          <w:rFonts w:hint="eastAsia"/>
        </w:rPr>
        <w:t>经申请成为专业投资者的，</w:t>
      </w:r>
      <w:r>
        <w:rPr>
          <w:rFonts w:hint="eastAsia"/>
        </w:rPr>
        <w:t>公司</w:t>
      </w:r>
      <w:r w:rsidRPr="008A23C7">
        <w:rPr>
          <w:rFonts w:hint="eastAsia"/>
        </w:rPr>
        <w:t>每</w:t>
      </w:r>
      <w:r>
        <w:rPr>
          <w:rFonts w:hint="eastAsia"/>
        </w:rPr>
        <w:t>两</w:t>
      </w:r>
      <w:r w:rsidRPr="008A23C7">
        <w:rPr>
          <w:rFonts w:hint="eastAsia"/>
        </w:rPr>
        <w:t>年</w:t>
      </w:r>
      <w:r w:rsidRPr="004D18B2">
        <w:rPr>
          <w:rFonts w:hint="eastAsia"/>
        </w:rPr>
        <w:t>对其成为专业投资者的条件进行确认。确认不符合条件的，不再将其划分为专业投资者。</w:t>
      </w:r>
    </w:p>
    <w:p w:rsidR="00F466FA" w:rsidRDefault="00F466FA" w:rsidP="0021653F">
      <w:pPr>
        <w:spacing w:line="660" w:lineRule="exact"/>
        <w:ind w:firstLine="31680"/>
      </w:pPr>
      <w:r>
        <w:rPr>
          <w:rFonts w:hint="eastAsia"/>
        </w:rPr>
        <w:t>第十一条</w:t>
      </w:r>
      <w:r>
        <w:t xml:space="preserve"> </w:t>
      </w:r>
      <w:r>
        <w:rPr>
          <w:rFonts w:hint="eastAsia"/>
        </w:rPr>
        <w:t>产品销售服务人员应当根据客户提供的信息，对其风险承受能力进行综合评估。</w:t>
      </w:r>
    </w:p>
    <w:p w:rsidR="00F466FA" w:rsidRDefault="00F466FA" w:rsidP="0021653F">
      <w:pPr>
        <w:spacing w:line="660" w:lineRule="exact"/>
        <w:ind w:firstLine="31680"/>
      </w:pPr>
      <w:r>
        <w:rPr>
          <w:rFonts w:hint="eastAsia"/>
        </w:rPr>
        <w:t>除根据本细则第五条、第六条的规定要求客户提供的信息之外，产品销售服务人员还应当要求客户认真填写《</w:t>
      </w:r>
      <w:r w:rsidRPr="00F174D3">
        <w:rPr>
          <w:rFonts w:hint="eastAsia"/>
        </w:rPr>
        <w:t>客户风险承受能力</w:t>
      </w:r>
      <w:r>
        <w:rPr>
          <w:rFonts w:hint="eastAsia"/>
        </w:rPr>
        <w:t>调查</w:t>
      </w:r>
      <w:r w:rsidRPr="00F174D3">
        <w:rPr>
          <w:rFonts w:hint="eastAsia"/>
        </w:rPr>
        <w:t>问卷</w:t>
      </w:r>
      <w:r>
        <w:rPr>
          <w:rFonts w:hint="eastAsia"/>
        </w:rPr>
        <w:t>》（附件</w:t>
      </w:r>
      <w:r>
        <w:t>4</w:t>
      </w:r>
      <w:r>
        <w:rPr>
          <w:rFonts w:hint="eastAsia"/>
        </w:rPr>
        <w:t>），确认客户的风险承受能力等级、投资期限、投资品种等，在此基础上向客户出具《</w:t>
      </w:r>
      <w:r w:rsidRPr="00B22787">
        <w:rPr>
          <w:rFonts w:hint="eastAsia"/>
        </w:rPr>
        <w:t>客户风险承受能力初次评估结果告知函</w:t>
      </w:r>
      <w:r>
        <w:rPr>
          <w:rFonts w:hint="eastAsia"/>
        </w:rPr>
        <w:t>》（附件</w:t>
      </w:r>
      <w:r>
        <w:t>5</w:t>
      </w:r>
      <w:r>
        <w:rPr>
          <w:rFonts w:hint="eastAsia"/>
        </w:rPr>
        <w:t>），并按照公司档案管理办法留存此类文件。</w:t>
      </w:r>
    </w:p>
    <w:p w:rsidR="00F466FA" w:rsidRDefault="00F466FA" w:rsidP="0021653F">
      <w:pPr>
        <w:spacing w:line="660" w:lineRule="exact"/>
        <w:ind w:firstLine="31680"/>
      </w:pPr>
      <w:r>
        <w:rPr>
          <w:rFonts w:hint="eastAsia"/>
        </w:rPr>
        <w:t>第十二条</w:t>
      </w:r>
      <w:r>
        <w:t xml:space="preserve"> </w:t>
      </w:r>
      <w:r>
        <w:rPr>
          <w:rFonts w:hint="eastAsia"/>
        </w:rPr>
        <w:t>公司根据客户提供的信息以及《</w:t>
      </w:r>
      <w:r w:rsidRPr="00F174D3">
        <w:rPr>
          <w:rFonts w:hint="eastAsia"/>
        </w:rPr>
        <w:t>客户风险承受能力</w:t>
      </w:r>
      <w:r>
        <w:rPr>
          <w:rFonts w:hint="eastAsia"/>
        </w:rPr>
        <w:t>调查</w:t>
      </w:r>
      <w:r w:rsidRPr="00F174D3">
        <w:rPr>
          <w:rFonts w:hint="eastAsia"/>
        </w:rPr>
        <w:t>问卷</w:t>
      </w:r>
      <w:r>
        <w:rPr>
          <w:rFonts w:hint="eastAsia"/>
        </w:rPr>
        <w:t>》，将客户的风险承受能力等级划分为五等，从高到低分别为</w:t>
      </w:r>
      <w:r w:rsidRPr="00BF71FF">
        <w:rPr>
          <w:rFonts w:hint="eastAsia"/>
        </w:rPr>
        <w:t>高、较高、中、较低、低</w:t>
      </w:r>
      <w:r>
        <w:rPr>
          <w:rFonts w:hint="eastAsia"/>
        </w:rPr>
        <w:t>，</w:t>
      </w:r>
      <w:r w:rsidRPr="00B31414">
        <w:rPr>
          <w:rFonts w:hint="eastAsia"/>
        </w:rPr>
        <w:t>对应的分值区间依次为</w:t>
      </w:r>
      <w:r>
        <w:t>81-100</w:t>
      </w:r>
      <w:r>
        <w:rPr>
          <w:rFonts w:hint="eastAsia"/>
        </w:rPr>
        <w:t>分，</w:t>
      </w:r>
      <w:r>
        <w:t>61-80</w:t>
      </w:r>
      <w:r>
        <w:rPr>
          <w:rFonts w:hint="eastAsia"/>
        </w:rPr>
        <w:t>分，</w:t>
      </w:r>
      <w:r>
        <w:t>41-60</w:t>
      </w:r>
      <w:r>
        <w:rPr>
          <w:rFonts w:hint="eastAsia"/>
        </w:rPr>
        <w:t>分，</w:t>
      </w:r>
      <w:r>
        <w:t>21-40</w:t>
      </w:r>
      <w:r>
        <w:rPr>
          <w:rFonts w:hint="eastAsia"/>
        </w:rPr>
        <w:t>分，</w:t>
      </w:r>
      <w:r>
        <w:t>0-20</w:t>
      </w:r>
      <w:r>
        <w:rPr>
          <w:rFonts w:hint="eastAsia"/>
        </w:rPr>
        <w:t>分。</w:t>
      </w:r>
    </w:p>
    <w:p w:rsidR="00F466FA" w:rsidRDefault="00F466FA" w:rsidP="0021653F">
      <w:pPr>
        <w:tabs>
          <w:tab w:val="left" w:pos="0"/>
        </w:tabs>
        <w:spacing w:line="660" w:lineRule="exact"/>
        <w:ind w:firstLineChars="196" w:firstLine="31680"/>
      </w:pPr>
      <w:r>
        <w:rPr>
          <w:rFonts w:hint="eastAsia"/>
        </w:rPr>
        <w:t>第十三条</w:t>
      </w:r>
      <w:r>
        <w:t xml:space="preserve"> </w:t>
      </w:r>
      <w:r>
        <w:rPr>
          <w:rFonts w:hint="eastAsia"/>
        </w:rPr>
        <w:t>《</w:t>
      </w:r>
      <w:r w:rsidRPr="00B22787">
        <w:rPr>
          <w:rFonts w:hint="eastAsia"/>
        </w:rPr>
        <w:t>客户风险承受能力初次评估结果告知函</w:t>
      </w:r>
      <w:r>
        <w:rPr>
          <w:rFonts w:hint="eastAsia"/>
        </w:rPr>
        <w:t>》中明确告知客户其提供的信息发生任何重大变化都应当及时通知公司，产品销售服务人员亦应当明确告知客户若影响其成为专业投资者的条件或相应风险承受能力等级的信息发生重大变化的，</w:t>
      </w:r>
      <w:r w:rsidRPr="00841331">
        <w:rPr>
          <w:rFonts w:hint="eastAsia"/>
        </w:rPr>
        <w:t>客户需及时通知公司</w:t>
      </w:r>
      <w:r>
        <w:rPr>
          <w:rFonts w:hint="eastAsia"/>
        </w:rPr>
        <w:t>，否则对因此而产生的责任，由客户自行承担。</w:t>
      </w:r>
    </w:p>
    <w:p w:rsidR="00F466FA" w:rsidRDefault="00F466FA" w:rsidP="0021653F">
      <w:pPr>
        <w:tabs>
          <w:tab w:val="left" w:pos="0"/>
        </w:tabs>
        <w:spacing w:line="660" w:lineRule="exact"/>
        <w:ind w:firstLineChars="196" w:firstLine="31680"/>
      </w:pPr>
      <w:r>
        <w:rPr>
          <w:rFonts w:hint="eastAsia"/>
        </w:rPr>
        <w:t>公司还可采取定期或不定期短信提示、官网发布等方式，提示客户相关信息发生重大变化时应当及时通知公司。</w:t>
      </w:r>
    </w:p>
    <w:p w:rsidR="00F466FA" w:rsidRPr="00DC2319" w:rsidRDefault="00F466FA" w:rsidP="0021653F">
      <w:pPr>
        <w:tabs>
          <w:tab w:val="left" w:pos="0"/>
        </w:tabs>
        <w:spacing w:line="660" w:lineRule="exact"/>
        <w:ind w:firstLineChars="196" w:firstLine="31680"/>
        <w:rPr>
          <w:rFonts w:ascii="仿宋_GB2312" w:eastAsia="仿宋_GB2312" w:hAnsi="Times New Roman"/>
          <w:sz w:val="32"/>
          <w:szCs w:val="32"/>
        </w:rPr>
      </w:pPr>
      <w:r>
        <w:rPr>
          <w:rFonts w:hint="eastAsia"/>
        </w:rPr>
        <w:t>公司在客户告知的基础上</w:t>
      </w:r>
      <w:r w:rsidRPr="00DC2319">
        <w:rPr>
          <w:rFonts w:hint="eastAsia"/>
        </w:rPr>
        <w:t>及时更新客户发生重大变化的信息，并重新评估其风险承受能力，必要时调整其风险承受能力等级。</w:t>
      </w:r>
    </w:p>
    <w:p w:rsidR="00F466FA" w:rsidRDefault="00F466FA" w:rsidP="0021653F">
      <w:pPr>
        <w:spacing w:line="660" w:lineRule="exact"/>
        <w:ind w:firstLine="31680"/>
      </w:pPr>
      <w:r>
        <w:rPr>
          <w:rFonts w:hint="eastAsia"/>
        </w:rPr>
        <w:t>第十四条</w:t>
      </w:r>
      <w:r>
        <w:t xml:space="preserve"> </w:t>
      </w:r>
      <w:r w:rsidRPr="0064725A">
        <w:rPr>
          <w:rFonts w:hint="eastAsia"/>
        </w:rPr>
        <w:t>在对客户风险承受能力进行初次评估后，</w:t>
      </w:r>
      <w:r>
        <w:rPr>
          <w:rFonts w:hint="eastAsia"/>
        </w:rPr>
        <w:t>公司亦</w:t>
      </w:r>
      <w:r w:rsidRPr="00455E21">
        <w:rPr>
          <w:rFonts w:hint="eastAsia"/>
        </w:rPr>
        <w:t>应当动态跟踪客户提供的信息是否发生重大变化</w:t>
      </w:r>
      <w:r>
        <w:rPr>
          <w:rFonts w:hint="eastAsia"/>
        </w:rPr>
        <w:t>。</w:t>
      </w:r>
    </w:p>
    <w:p w:rsidR="00F466FA" w:rsidRDefault="00F466FA" w:rsidP="0021653F">
      <w:pPr>
        <w:spacing w:line="660" w:lineRule="exact"/>
        <w:ind w:firstLine="31680"/>
      </w:pPr>
      <w:r>
        <w:rPr>
          <w:rFonts w:hint="eastAsia"/>
        </w:rPr>
        <w:t>公司发现客户提供信息已发生重大变化要求客户变更重要信息并重新进行风险承受能力评估、公司定期对客户重新进行风险承受能力评估，但客户拒绝或不予配合的，公司及产品销售服务人员不应再向该客户销售或提供新的金融产品或服务。</w:t>
      </w:r>
    </w:p>
    <w:p w:rsidR="00F466FA" w:rsidRPr="00455E21" w:rsidRDefault="00F466FA" w:rsidP="0021653F">
      <w:pPr>
        <w:spacing w:line="660" w:lineRule="exact"/>
        <w:ind w:firstLine="31680"/>
      </w:pPr>
      <w:r>
        <w:rPr>
          <w:rFonts w:hint="eastAsia"/>
        </w:rPr>
        <w:t>客户可通过公司相关交易系统弹出窗口提示进行信息变更并重新进行风险承受能力评估，经重新评估后即可购买新的金融产品或服务。</w:t>
      </w:r>
    </w:p>
    <w:p w:rsidR="00F466FA" w:rsidRDefault="00F466FA" w:rsidP="0021653F">
      <w:pPr>
        <w:spacing w:line="660" w:lineRule="exact"/>
        <w:ind w:firstLine="31680"/>
      </w:pPr>
      <w:r>
        <w:rPr>
          <w:rFonts w:hint="eastAsia"/>
        </w:rPr>
        <w:t>第十五条</w:t>
      </w:r>
      <w:r>
        <w:t xml:space="preserve"> </w:t>
      </w:r>
      <w:r>
        <w:rPr>
          <w:rFonts w:hint="eastAsia"/>
        </w:rPr>
        <w:t>公司每两年对客户风险承受能力进行重新评估</w:t>
      </w:r>
      <w:r w:rsidRPr="0064725A">
        <w:rPr>
          <w:rFonts w:hint="eastAsia"/>
        </w:rPr>
        <w:t>。</w:t>
      </w:r>
    </w:p>
    <w:p w:rsidR="00F466FA" w:rsidRDefault="00F466FA" w:rsidP="009445F6">
      <w:pPr>
        <w:spacing w:line="660" w:lineRule="exact"/>
        <w:ind w:firstLineChars="0" w:firstLine="555"/>
      </w:pPr>
      <w:r>
        <w:rPr>
          <w:rFonts w:hint="eastAsia"/>
        </w:rPr>
        <w:t>公司根据本细则第十三条第三款及本条第一款的规定对客户风险承受能力进行重新评估的，产品销售服务人员应当向客户出具《客户风险承受能力重新评估结果告知函》（附件</w:t>
      </w:r>
      <w:r>
        <w:t>6</w:t>
      </w:r>
      <w:r>
        <w:rPr>
          <w:rFonts w:hint="eastAsia"/>
        </w:rPr>
        <w:t>）。</w:t>
      </w:r>
    </w:p>
    <w:p w:rsidR="00F466FA" w:rsidRDefault="00F466FA" w:rsidP="009445F6">
      <w:pPr>
        <w:spacing w:line="660" w:lineRule="exact"/>
        <w:ind w:firstLineChars="0" w:firstLine="555"/>
      </w:pPr>
      <w:r>
        <w:rPr>
          <w:rFonts w:hint="eastAsia"/>
        </w:rPr>
        <w:t>客户风险承受能力评估期满需要重新评估的，客户可通过公司相关交易系统弹出窗口提示进行信息变更并重新进行风险承受能力评估，经重新评估后即可购买新的金融产品或服务。</w:t>
      </w:r>
    </w:p>
    <w:p w:rsidR="00F466FA" w:rsidRDefault="00F466FA" w:rsidP="009445F6">
      <w:pPr>
        <w:spacing w:line="660" w:lineRule="exact"/>
        <w:ind w:firstLineChars="0" w:firstLine="555"/>
      </w:pPr>
      <w:r>
        <w:rPr>
          <w:rFonts w:hint="eastAsia"/>
        </w:rPr>
        <w:t>客户风险承受能力评估期满未进行重新评估的，公司及产品销售服务人员不应再向该客户销售或提供新的金融产品或服务。</w:t>
      </w:r>
    </w:p>
    <w:p w:rsidR="00F466FA" w:rsidRDefault="00F466FA" w:rsidP="00ED209B">
      <w:pPr>
        <w:spacing w:line="660" w:lineRule="exact"/>
        <w:ind w:firstLineChars="0" w:firstLine="0"/>
      </w:pPr>
    </w:p>
    <w:p w:rsidR="00F466FA" w:rsidRPr="004D7944" w:rsidRDefault="00F466FA" w:rsidP="0021653F">
      <w:pPr>
        <w:ind w:firstLine="31680"/>
        <w:jc w:val="center"/>
        <w:rPr>
          <w:b/>
          <w:sz w:val="30"/>
          <w:szCs w:val="30"/>
        </w:rPr>
      </w:pPr>
      <w:r w:rsidRPr="004D7944">
        <w:rPr>
          <w:rFonts w:hint="eastAsia"/>
          <w:b/>
          <w:sz w:val="30"/>
          <w:szCs w:val="30"/>
        </w:rPr>
        <w:t>第三章</w:t>
      </w:r>
      <w:r w:rsidRPr="004D7944">
        <w:rPr>
          <w:b/>
          <w:sz w:val="30"/>
          <w:szCs w:val="30"/>
        </w:rPr>
        <w:t xml:space="preserve"> </w:t>
      </w:r>
      <w:r w:rsidRPr="004D7944">
        <w:rPr>
          <w:rFonts w:hint="eastAsia"/>
          <w:b/>
          <w:sz w:val="30"/>
          <w:szCs w:val="30"/>
        </w:rPr>
        <w:t>了解金融产品或金融服务的标准、程序和方法</w:t>
      </w:r>
    </w:p>
    <w:p w:rsidR="00F466FA" w:rsidRPr="00ED209B" w:rsidRDefault="00F466FA" w:rsidP="0021653F">
      <w:pPr>
        <w:spacing w:line="660" w:lineRule="exact"/>
        <w:ind w:firstLine="31680"/>
      </w:pPr>
      <w:r>
        <w:rPr>
          <w:rFonts w:hint="eastAsia"/>
        </w:rPr>
        <w:t>第十六条</w:t>
      </w:r>
      <w:r>
        <w:t xml:space="preserve"> </w:t>
      </w:r>
      <w:r w:rsidRPr="00ED209B">
        <w:rPr>
          <w:rFonts w:hint="eastAsia"/>
        </w:rPr>
        <w:t>公司向客户销售金融产品、提供金融服务，应当根据产品或服务的性质和特点，了解以下信息：</w:t>
      </w:r>
    </w:p>
    <w:p w:rsidR="00F466FA" w:rsidRPr="00ED209B" w:rsidRDefault="00F466FA" w:rsidP="0021653F">
      <w:pPr>
        <w:spacing w:line="660" w:lineRule="exact"/>
        <w:ind w:firstLine="31680"/>
      </w:pPr>
      <w:r w:rsidRPr="00ED209B">
        <w:rPr>
          <w:rFonts w:hint="eastAsia"/>
        </w:rPr>
        <w:t>（一）发行人的基本信息；</w:t>
      </w:r>
    </w:p>
    <w:p w:rsidR="00F466FA" w:rsidRPr="00ED209B" w:rsidRDefault="00F466FA" w:rsidP="0021653F">
      <w:pPr>
        <w:spacing w:line="660" w:lineRule="exact"/>
        <w:ind w:firstLine="31680"/>
      </w:pPr>
      <w:r w:rsidRPr="00ED209B">
        <w:rPr>
          <w:rFonts w:hint="eastAsia"/>
        </w:rPr>
        <w:t>（二）是否依法发行或提供；</w:t>
      </w:r>
    </w:p>
    <w:p w:rsidR="00F466FA" w:rsidRPr="00ED209B" w:rsidRDefault="00F466FA" w:rsidP="0021653F">
      <w:pPr>
        <w:spacing w:line="660" w:lineRule="exact"/>
        <w:ind w:firstLine="31680"/>
      </w:pPr>
      <w:r w:rsidRPr="00ED209B">
        <w:rPr>
          <w:rFonts w:hint="eastAsia"/>
        </w:rPr>
        <w:t>（三）期限、锁定期、提前终止的可能性、终止条件等；</w:t>
      </w:r>
    </w:p>
    <w:p w:rsidR="00F466FA" w:rsidRPr="00ED209B" w:rsidRDefault="00F466FA" w:rsidP="0021653F">
      <w:pPr>
        <w:spacing w:line="660" w:lineRule="exact"/>
        <w:ind w:firstLine="31680"/>
      </w:pPr>
      <w:r w:rsidRPr="00ED209B">
        <w:rPr>
          <w:rFonts w:hint="eastAsia"/>
        </w:rPr>
        <w:t>（四）投资安排，如可投资的范围和对象、投资比例等；</w:t>
      </w:r>
    </w:p>
    <w:p w:rsidR="00F466FA" w:rsidRPr="00ED209B" w:rsidRDefault="00F466FA" w:rsidP="0021653F">
      <w:pPr>
        <w:spacing w:line="660" w:lineRule="exact"/>
        <w:ind w:firstLine="31680"/>
      </w:pPr>
      <w:r w:rsidRPr="00ED209B">
        <w:rPr>
          <w:rFonts w:hint="eastAsia"/>
        </w:rPr>
        <w:t xml:space="preserve">（五）基础资产的状况；　</w:t>
      </w:r>
    </w:p>
    <w:p w:rsidR="00F466FA" w:rsidRPr="00ED209B" w:rsidRDefault="00F466FA" w:rsidP="0021653F">
      <w:pPr>
        <w:spacing w:line="660" w:lineRule="exact"/>
        <w:ind w:firstLine="31680"/>
      </w:pPr>
      <w:r w:rsidRPr="00ED209B">
        <w:rPr>
          <w:rFonts w:hint="eastAsia"/>
        </w:rPr>
        <w:t>（六）担保品或其他信用保障及其价值情况；</w:t>
      </w:r>
    </w:p>
    <w:p w:rsidR="00F466FA" w:rsidRPr="00ED209B" w:rsidRDefault="00F466FA" w:rsidP="0021653F">
      <w:pPr>
        <w:spacing w:line="660" w:lineRule="exact"/>
        <w:ind w:firstLine="31680"/>
      </w:pPr>
      <w:r w:rsidRPr="00ED209B">
        <w:rPr>
          <w:rFonts w:hint="eastAsia"/>
        </w:rPr>
        <w:t>（七）风险收益特征，如流动性风险、市场风险、预期收益率、收益波动性等；</w:t>
      </w:r>
    </w:p>
    <w:p w:rsidR="00F466FA" w:rsidRPr="00ED209B" w:rsidRDefault="00F466FA" w:rsidP="0021653F">
      <w:pPr>
        <w:spacing w:line="660" w:lineRule="exact"/>
        <w:ind w:firstLine="31680"/>
      </w:pPr>
      <w:r w:rsidRPr="00ED209B">
        <w:rPr>
          <w:rFonts w:hint="eastAsia"/>
        </w:rPr>
        <w:t>（八）投资者购买、持有或出售产品或服务的成本、费用和可能的损失；</w:t>
      </w:r>
    </w:p>
    <w:p w:rsidR="00F466FA" w:rsidRPr="0063166D" w:rsidRDefault="00F466FA" w:rsidP="0021653F">
      <w:pPr>
        <w:spacing w:line="660" w:lineRule="exact"/>
        <w:ind w:firstLine="31680"/>
        <w:rPr>
          <w:rFonts w:ascii="仿宋_GB2312" w:eastAsia="仿宋_GB2312" w:hAnsi="宋体"/>
          <w:sz w:val="32"/>
          <w:szCs w:val="32"/>
        </w:rPr>
      </w:pPr>
      <w:r w:rsidRPr="00ED209B">
        <w:rPr>
          <w:rFonts w:hint="eastAsia"/>
        </w:rPr>
        <w:t>（九）可能存在的其他风险因素。</w:t>
      </w:r>
    </w:p>
    <w:p w:rsidR="00F466FA" w:rsidRPr="00ED209B" w:rsidRDefault="00F466FA" w:rsidP="0021653F">
      <w:pPr>
        <w:tabs>
          <w:tab w:val="left" w:pos="0"/>
        </w:tabs>
        <w:spacing w:line="660" w:lineRule="exact"/>
        <w:ind w:firstLine="31680"/>
      </w:pPr>
      <w:r>
        <w:rPr>
          <w:rFonts w:hint="eastAsia"/>
        </w:rPr>
        <w:t>第十七</w:t>
      </w:r>
      <w:r w:rsidRPr="00ED209B">
        <w:rPr>
          <w:rFonts w:hint="eastAsia"/>
        </w:rPr>
        <w:t>条</w:t>
      </w:r>
      <w:r w:rsidRPr="00ED209B">
        <w:t xml:space="preserve"> </w:t>
      </w:r>
      <w:r w:rsidRPr="00ED209B">
        <w:rPr>
          <w:rFonts w:hint="eastAsia"/>
        </w:rPr>
        <w:t>公司销售复杂或高风险金融产品，还应当了解以下信息：</w:t>
      </w:r>
    </w:p>
    <w:p w:rsidR="00F466FA" w:rsidRPr="00ED209B" w:rsidRDefault="00F466FA" w:rsidP="0021653F">
      <w:pPr>
        <w:tabs>
          <w:tab w:val="left" w:pos="0"/>
        </w:tabs>
        <w:spacing w:line="660" w:lineRule="exact"/>
        <w:ind w:firstLine="31680"/>
      </w:pPr>
      <w:r w:rsidRPr="00ED209B">
        <w:rPr>
          <w:rFonts w:hint="eastAsia"/>
        </w:rPr>
        <w:t>（一）产品的结构、定价方式和杠杆情况；</w:t>
      </w:r>
    </w:p>
    <w:p w:rsidR="00F466FA" w:rsidRPr="00ED209B" w:rsidRDefault="00F466FA" w:rsidP="0021653F">
      <w:pPr>
        <w:spacing w:line="660" w:lineRule="exact"/>
        <w:ind w:firstLine="31680"/>
      </w:pPr>
      <w:r w:rsidRPr="00ED209B">
        <w:rPr>
          <w:rFonts w:hint="eastAsia"/>
        </w:rPr>
        <w:t>（二）产品信用风险的性质和复杂程度，如发行人、对手方或有关参照方的信用状况以及发行人、产品提供方的经验和声誉等；</w:t>
      </w:r>
      <w:r w:rsidRPr="00ED209B">
        <w:t xml:space="preserve"> </w:t>
      </w:r>
    </w:p>
    <w:p w:rsidR="00F466FA" w:rsidRPr="00ED209B" w:rsidRDefault="00F466FA" w:rsidP="0021653F">
      <w:pPr>
        <w:spacing w:line="660" w:lineRule="exact"/>
        <w:ind w:firstLine="31680"/>
      </w:pPr>
      <w:r w:rsidRPr="00ED209B">
        <w:rPr>
          <w:rFonts w:hint="eastAsia"/>
        </w:rPr>
        <w:t>（三）客户是否会被要求追加后续投资或承担后续债务；</w:t>
      </w:r>
    </w:p>
    <w:p w:rsidR="00F466FA" w:rsidRPr="00ED209B" w:rsidRDefault="00F466FA" w:rsidP="0021653F">
      <w:pPr>
        <w:spacing w:line="660" w:lineRule="exact"/>
        <w:ind w:firstLine="31680"/>
      </w:pPr>
      <w:r w:rsidRPr="00ED209B">
        <w:rPr>
          <w:rFonts w:hint="eastAsia"/>
        </w:rPr>
        <w:t>（四）客户可能产生的本金损失和最大损失；</w:t>
      </w:r>
    </w:p>
    <w:p w:rsidR="00F466FA" w:rsidRPr="00ED209B" w:rsidRDefault="00F466FA" w:rsidP="0021653F">
      <w:pPr>
        <w:spacing w:line="660" w:lineRule="exact"/>
        <w:ind w:firstLine="31680"/>
      </w:pPr>
      <w:r w:rsidRPr="00ED209B">
        <w:rPr>
          <w:rFonts w:hint="eastAsia"/>
        </w:rPr>
        <w:t>（五）可能存在的其他重大风险因素。</w:t>
      </w:r>
    </w:p>
    <w:p w:rsidR="00F466FA" w:rsidRPr="004D0185" w:rsidRDefault="00F466FA" w:rsidP="0021653F">
      <w:pPr>
        <w:tabs>
          <w:tab w:val="left" w:pos="0"/>
        </w:tabs>
        <w:ind w:firstLine="31680"/>
      </w:pPr>
      <w:r w:rsidRPr="00ED209B">
        <w:rPr>
          <w:rFonts w:hint="eastAsia"/>
        </w:rPr>
        <w:t>前款所称复杂或高风险金融产品，是指产品的条款和特征不易被客户理解、具有复杂的结构、不易估值、流动性较低、透明度较低、损失可能超过购买支出等金融产品</w:t>
      </w:r>
      <w:r>
        <w:rPr>
          <w:rFonts w:hint="eastAsia"/>
        </w:rPr>
        <w:t>，包括但不限于</w:t>
      </w:r>
      <w:r w:rsidRPr="004D0185">
        <w:rPr>
          <w:rFonts w:hint="eastAsia"/>
        </w:rPr>
        <w:t>金融衍生产品、结构化产品、信贷挂钩票据、股票挂钩票据、合成金融工具、资产支持证券、住房抵押贷款支持证券、债务抵押证券、其他复杂或高风险金融产品。</w:t>
      </w:r>
    </w:p>
    <w:p w:rsidR="00F466FA" w:rsidRDefault="00F466FA" w:rsidP="0021653F">
      <w:pPr>
        <w:tabs>
          <w:tab w:val="left" w:pos="0"/>
        </w:tabs>
        <w:ind w:firstLine="31680"/>
      </w:pPr>
      <w:r>
        <w:rPr>
          <w:rFonts w:hint="eastAsia"/>
        </w:rPr>
        <w:t>第十八</w:t>
      </w:r>
      <w:r w:rsidRPr="001F145A">
        <w:rPr>
          <w:rFonts w:hint="eastAsia"/>
        </w:rPr>
        <w:t>条</w:t>
      </w:r>
      <w:r w:rsidRPr="001F145A">
        <w:t xml:space="preserve"> </w:t>
      </w:r>
      <w:r>
        <w:rPr>
          <w:rFonts w:hint="eastAsia"/>
        </w:rPr>
        <w:t>公司根据本细则第十六条、第十七条的规定，制作统一的《金融产品或金融服务风险等级评估表》（附件</w:t>
      </w:r>
      <w:r>
        <w:t>8</w:t>
      </w:r>
      <w:r>
        <w:rPr>
          <w:rFonts w:hint="eastAsia"/>
        </w:rPr>
        <w:t>），详细了解相关金融产品或服务的信息，全面评估其风险等级。</w:t>
      </w:r>
    </w:p>
    <w:p w:rsidR="00F466FA" w:rsidRDefault="00F466FA" w:rsidP="0021653F">
      <w:pPr>
        <w:tabs>
          <w:tab w:val="left" w:pos="0"/>
        </w:tabs>
        <w:ind w:firstLine="31680"/>
      </w:pPr>
      <w:r>
        <w:rPr>
          <w:rFonts w:hint="eastAsia"/>
        </w:rPr>
        <w:t>公司将金融产品或金融服务的等级划分为五等，从高到低依次为</w:t>
      </w:r>
      <w:r w:rsidRPr="00BF71FF">
        <w:rPr>
          <w:rFonts w:hint="eastAsia"/>
        </w:rPr>
        <w:t>高、较高、中、较低、低</w:t>
      </w:r>
      <w:r w:rsidRPr="004B555D">
        <w:rPr>
          <w:rFonts w:hint="eastAsia"/>
        </w:rPr>
        <w:t>，</w:t>
      </w:r>
      <w:r>
        <w:rPr>
          <w:rFonts w:hint="eastAsia"/>
        </w:rPr>
        <w:t>与客户的风险承受能力等级一一对应，每个风险等级对应的具体金融产品见《金融产品风险等级匹配表》（附件</w:t>
      </w:r>
      <w:r>
        <w:t>12</w:t>
      </w:r>
      <w:r>
        <w:rPr>
          <w:rFonts w:hint="eastAsia"/>
        </w:rPr>
        <w:t>）。高等级风险承受能力的客户可以投资低</w:t>
      </w:r>
      <w:r w:rsidRPr="007402F6">
        <w:rPr>
          <w:rFonts w:hint="eastAsia"/>
        </w:rPr>
        <w:t>风险</w:t>
      </w:r>
      <w:r>
        <w:rPr>
          <w:rFonts w:hint="eastAsia"/>
        </w:rPr>
        <w:t>等级</w:t>
      </w:r>
      <w:r w:rsidRPr="007402F6">
        <w:rPr>
          <w:rFonts w:hint="eastAsia"/>
        </w:rPr>
        <w:t>的产品</w:t>
      </w:r>
      <w:r>
        <w:rPr>
          <w:rFonts w:hint="eastAsia"/>
        </w:rPr>
        <w:t>。</w:t>
      </w:r>
    </w:p>
    <w:p w:rsidR="00F466FA" w:rsidRPr="004B555D" w:rsidRDefault="00F466FA" w:rsidP="0021653F">
      <w:pPr>
        <w:ind w:firstLine="31680"/>
      </w:pPr>
      <w:r w:rsidRPr="004B555D">
        <w:rPr>
          <w:rFonts w:hint="eastAsia"/>
        </w:rPr>
        <w:t>公司可根据中国证监会、</w:t>
      </w:r>
      <w:r>
        <w:rPr>
          <w:rFonts w:hint="eastAsia"/>
        </w:rPr>
        <w:t>中国证券业</w:t>
      </w:r>
      <w:r w:rsidRPr="004B555D">
        <w:rPr>
          <w:rFonts w:hint="eastAsia"/>
        </w:rPr>
        <w:t>协会规定以及市场发展情况，调整</w:t>
      </w:r>
      <w:r>
        <w:rPr>
          <w:rFonts w:hint="eastAsia"/>
        </w:rPr>
        <w:t>以上金融产品的风险等级范围</w:t>
      </w:r>
      <w:r w:rsidRPr="004B555D">
        <w:rPr>
          <w:rFonts w:hint="eastAsia"/>
        </w:rPr>
        <w:t>。</w:t>
      </w:r>
    </w:p>
    <w:p w:rsidR="00F466FA" w:rsidRDefault="00F466FA" w:rsidP="0021653F">
      <w:pPr>
        <w:spacing w:line="660" w:lineRule="exact"/>
        <w:ind w:firstLineChars="196" w:firstLine="31680"/>
      </w:pPr>
      <w:r>
        <w:rPr>
          <w:rFonts w:hint="eastAsia"/>
        </w:rPr>
        <w:t>第十九条</w:t>
      </w:r>
      <w:r>
        <w:t xml:space="preserve"> </w:t>
      </w:r>
      <w:r w:rsidRPr="004D0185">
        <w:rPr>
          <w:rFonts w:hint="eastAsia"/>
        </w:rPr>
        <w:t>公司代销其他机构发行的金融产品，应当要求委托方提供本</w:t>
      </w:r>
      <w:r>
        <w:rPr>
          <w:rFonts w:hint="eastAsia"/>
        </w:rPr>
        <w:t>细则</w:t>
      </w:r>
      <w:r w:rsidRPr="004D0185">
        <w:rPr>
          <w:rFonts w:hint="eastAsia"/>
        </w:rPr>
        <w:t>第</w:t>
      </w:r>
      <w:r>
        <w:rPr>
          <w:rFonts w:hint="eastAsia"/>
        </w:rPr>
        <w:t>十六</w:t>
      </w:r>
      <w:r w:rsidRPr="004D0185">
        <w:rPr>
          <w:rFonts w:hint="eastAsia"/>
        </w:rPr>
        <w:t>条和第</w:t>
      </w:r>
      <w:r>
        <w:rPr>
          <w:rFonts w:hint="eastAsia"/>
        </w:rPr>
        <w:t>十七</w:t>
      </w:r>
      <w:r w:rsidRPr="004D0185">
        <w:rPr>
          <w:rFonts w:hint="eastAsia"/>
        </w:rPr>
        <w:t>条规定的信息，以便对代销产品的风险等级进行</w:t>
      </w:r>
      <w:r>
        <w:rPr>
          <w:rFonts w:hint="eastAsia"/>
        </w:rPr>
        <w:t>全面</w:t>
      </w:r>
      <w:r w:rsidRPr="004D0185">
        <w:rPr>
          <w:rFonts w:hint="eastAsia"/>
        </w:rPr>
        <w:t>评估。</w:t>
      </w:r>
    </w:p>
    <w:p w:rsidR="00F466FA" w:rsidRPr="004D0185" w:rsidRDefault="00F466FA" w:rsidP="0021653F">
      <w:pPr>
        <w:tabs>
          <w:tab w:val="left" w:pos="0"/>
        </w:tabs>
        <w:spacing w:line="660" w:lineRule="exact"/>
        <w:ind w:firstLine="31680"/>
      </w:pPr>
      <w:r>
        <w:rPr>
          <w:rFonts w:hint="eastAsia"/>
        </w:rPr>
        <w:t>第二十条</w:t>
      </w:r>
      <w:r>
        <w:t xml:space="preserve"> </w:t>
      </w:r>
      <w:r w:rsidRPr="004D0185">
        <w:rPr>
          <w:rFonts w:hint="eastAsia"/>
        </w:rPr>
        <w:t>公司委托其他机构销售本公司发行的金融产品，应当审慎选择受托方，确认受托方具备代销相关产品的资格。</w:t>
      </w:r>
    </w:p>
    <w:p w:rsidR="00F466FA" w:rsidRPr="004D0185" w:rsidRDefault="00F466FA" w:rsidP="0021653F">
      <w:pPr>
        <w:tabs>
          <w:tab w:val="left" w:pos="0"/>
        </w:tabs>
        <w:spacing w:line="660" w:lineRule="exact"/>
        <w:ind w:firstLine="31680"/>
      </w:pPr>
      <w:r>
        <w:rPr>
          <w:rFonts w:hint="eastAsia"/>
        </w:rPr>
        <w:t>公司应当向受托方提供本细则</w:t>
      </w:r>
      <w:r w:rsidRPr="004D0185">
        <w:rPr>
          <w:rFonts w:hint="eastAsia"/>
        </w:rPr>
        <w:t>第</w:t>
      </w:r>
      <w:r>
        <w:rPr>
          <w:rFonts w:hint="eastAsia"/>
        </w:rPr>
        <w:t>十六</w:t>
      </w:r>
      <w:r w:rsidRPr="004D0185">
        <w:rPr>
          <w:rFonts w:hint="eastAsia"/>
        </w:rPr>
        <w:t>条和第</w:t>
      </w:r>
      <w:r>
        <w:rPr>
          <w:rFonts w:hint="eastAsia"/>
        </w:rPr>
        <w:t>十七</w:t>
      </w:r>
      <w:r w:rsidRPr="004D0185">
        <w:rPr>
          <w:rFonts w:hint="eastAsia"/>
        </w:rPr>
        <w:t>条规定的信息，方便受托方履行投资者适当性职责。</w:t>
      </w:r>
    </w:p>
    <w:p w:rsidR="00F466FA" w:rsidRDefault="00F466FA" w:rsidP="000B1E42">
      <w:pPr>
        <w:ind w:firstLineChars="0" w:firstLine="0"/>
      </w:pPr>
    </w:p>
    <w:p w:rsidR="00F466FA" w:rsidRPr="004D7944" w:rsidRDefault="00F466FA" w:rsidP="0021653F">
      <w:pPr>
        <w:ind w:firstLine="31680"/>
        <w:jc w:val="center"/>
        <w:rPr>
          <w:b/>
          <w:sz w:val="30"/>
          <w:szCs w:val="30"/>
        </w:rPr>
      </w:pPr>
      <w:r w:rsidRPr="004D7944">
        <w:rPr>
          <w:rFonts w:hint="eastAsia"/>
          <w:b/>
          <w:sz w:val="30"/>
          <w:szCs w:val="30"/>
        </w:rPr>
        <w:t>第四章</w:t>
      </w:r>
      <w:r w:rsidRPr="004D7944">
        <w:rPr>
          <w:b/>
          <w:sz w:val="30"/>
          <w:szCs w:val="30"/>
        </w:rPr>
        <w:t xml:space="preserve"> </w:t>
      </w:r>
      <w:r w:rsidRPr="004D7944">
        <w:rPr>
          <w:rFonts w:hint="eastAsia"/>
          <w:b/>
          <w:sz w:val="30"/>
          <w:szCs w:val="30"/>
        </w:rPr>
        <w:t>评估适当性的标准、程序和方法</w:t>
      </w:r>
    </w:p>
    <w:p w:rsidR="00F466FA" w:rsidRDefault="00F466FA" w:rsidP="0021653F">
      <w:pPr>
        <w:spacing w:line="660" w:lineRule="exact"/>
        <w:ind w:firstLine="31680"/>
      </w:pPr>
      <w:r>
        <w:rPr>
          <w:rFonts w:hint="eastAsia"/>
        </w:rPr>
        <w:t>第二十一条</w:t>
      </w:r>
      <w:r>
        <w:t xml:space="preserve"> </w:t>
      </w:r>
      <w:r>
        <w:rPr>
          <w:rFonts w:hint="eastAsia"/>
        </w:rPr>
        <w:t>公司销售金融产品、提供金融服务，应当将适当的金融产品或服务提供给适合的投资者。</w:t>
      </w:r>
    </w:p>
    <w:p w:rsidR="00F466FA" w:rsidRDefault="00F466FA" w:rsidP="0021653F">
      <w:pPr>
        <w:spacing w:line="660" w:lineRule="exact"/>
        <w:ind w:firstLine="31680"/>
      </w:pPr>
      <w:r>
        <w:rPr>
          <w:rFonts w:hint="eastAsia"/>
        </w:rPr>
        <w:t>公司及金融产品销售人员不应主动将高风险等级的金融产品或服务向低风险承受能力的投资者进行推介和销售。</w:t>
      </w:r>
    </w:p>
    <w:p w:rsidR="00F466FA" w:rsidRPr="000B1E42" w:rsidRDefault="00F466FA" w:rsidP="0021653F">
      <w:pPr>
        <w:spacing w:line="660" w:lineRule="exact"/>
        <w:ind w:firstLine="31680"/>
      </w:pPr>
      <w:r>
        <w:rPr>
          <w:rFonts w:hint="eastAsia"/>
        </w:rPr>
        <w:t>第二十二条</w:t>
      </w:r>
      <w:r>
        <w:t xml:space="preserve"> </w:t>
      </w:r>
      <w:r w:rsidRPr="000B1E42">
        <w:rPr>
          <w:rFonts w:hint="eastAsia"/>
        </w:rPr>
        <w:t>公司销售金融产品、提供金融服务，应当向客户披露产品或服务的说明书等信息披露文件、公司与客户之间可能存在的利益冲突以及有助于客户理解相关投资并进行分析判断的其他信息。</w:t>
      </w:r>
    </w:p>
    <w:p w:rsidR="00F466FA" w:rsidRPr="0063166D" w:rsidRDefault="00F466FA" w:rsidP="0021653F">
      <w:pPr>
        <w:spacing w:line="660" w:lineRule="exact"/>
        <w:ind w:firstLine="31680"/>
        <w:rPr>
          <w:rFonts w:ascii="仿宋_GB2312" w:eastAsia="仿宋_GB2312" w:hAnsi="宋体"/>
          <w:sz w:val="32"/>
          <w:szCs w:val="32"/>
        </w:rPr>
      </w:pPr>
      <w:r w:rsidRPr="000B1E42">
        <w:rPr>
          <w:rFonts w:hint="eastAsia"/>
        </w:rPr>
        <w:t>向客户出具的金融产品或金融服务材料不得含有虚假、误导性信息或存在重大遗漏，不得欺诈客户。</w:t>
      </w:r>
    </w:p>
    <w:p w:rsidR="00F466FA" w:rsidRPr="000B1E42" w:rsidRDefault="00F466FA" w:rsidP="0021653F">
      <w:pPr>
        <w:spacing w:line="660" w:lineRule="exact"/>
        <w:ind w:firstLine="31680"/>
      </w:pPr>
      <w:r>
        <w:rPr>
          <w:rFonts w:hint="eastAsia"/>
        </w:rPr>
        <w:t>第二十三条</w:t>
      </w:r>
      <w:r>
        <w:t xml:space="preserve"> </w:t>
      </w:r>
      <w:r w:rsidRPr="000B1E42">
        <w:rPr>
          <w:rFonts w:hint="eastAsia"/>
        </w:rPr>
        <w:t>公司销售复杂或高风险金融产品，应当向客户披露评估金融产品的风险特征与客户风险承受能力的匹配情况。对具有杠杆效应的复杂或高风险</w:t>
      </w:r>
      <w:r>
        <w:rPr>
          <w:rFonts w:hint="eastAsia"/>
        </w:rPr>
        <w:t>金融产品，</w:t>
      </w:r>
      <w:r w:rsidRPr="000B1E42">
        <w:rPr>
          <w:rFonts w:hint="eastAsia"/>
        </w:rPr>
        <w:t>应当向客户提示可能产生的最大损失。对流动性差或者不存在公开交易市场的复杂或高风险</w:t>
      </w:r>
      <w:r>
        <w:rPr>
          <w:rFonts w:hint="eastAsia"/>
        </w:rPr>
        <w:t>金融产品，</w:t>
      </w:r>
      <w:r w:rsidRPr="000B1E42">
        <w:rPr>
          <w:rFonts w:hint="eastAsia"/>
        </w:rPr>
        <w:t>应当如实向客户披露。</w:t>
      </w:r>
    </w:p>
    <w:p w:rsidR="00F466FA" w:rsidRPr="000B1E42" w:rsidRDefault="00F466FA" w:rsidP="0021653F">
      <w:pPr>
        <w:spacing w:line="660" w:lineRule="exact"/>
        <w:ind w:firstLineChars="150" w:firstLine="31680"/>
      </w:pPr>
      <w:r>
        <w:rPr>
          <w:rFonts w:hint="eastAsia"/>
        </w:rPr>
        <w:t>第二十四条</w:t>
      </w:r>
      <w:r>
        <w:t xml:space="preserve"> </w:t>
      </w:r>
      <w:r w:rsidRPr="000B1E42">
        <w:rPr>
          <w:rFonts w:hint="eastAsia"/>
        </w:rPr>
        <w:t>公司销售金融产品，应当向客户充分揭示金融产品的信用风险、市场风险、流动性风险等可能影响客户权益的主要风险特征。</w:t>
      </w:r>
    </w:p>
    <w:p w:rsidR="00F466FA" w:rsidRPr="000B1E42" w:rsidRDefault="00F466FA" w:rsidP="0021653F">
      <w:pPr>
        <w:spacing w:line="660" w:lineRule="exact"/>
        <w:ind w:firstLine="31680"/>
      </w:pPr>
      <w:r w:rsidRPr="000B1E42">
        <w:rPr>
          <w:rFonts w:hint="eastAsia"/>
        </w:rPr>
        <w:t>公司应当制作风险揭示书，充分揭示上述风险的含义、特征、可能引起的后果。风险揭示书的内容应当具有针对性，表述应当清晰、</w:t>
      </w:r>
      <w:r>
        <w:rPr>
          <w:rFonts w:hint="eastAsia"/>
        </w:rPr>
        <w:t>明确、易懂。产品销售服务人员</w:t>
      </w:r>
      <w:r w:rsidRPr="000B1E42">
        <w:rPr>
          <w:rFonts w:hint="eastAsia"/>
        </w:rPr>
        <w:t>应当向客户讲解风险揭示书的内容，并将风险揭示书交客户签字确认。</w:t>
      </w:r>
    </w:p>
    <w:p w:rsidR="00F466FA" w:rsidRPr="000B1E42" w:rsidRDefault="00F466FA" w:rsidP="0021653F">
      <w:pPr>
        <w:spacing w:line="660" w:lineRule="exact"/>
        <w:ind w:firstLine="31680"/>
      </w:pPr>
      <w:r w:rsidRPr="000B1E42">
        <w:rPr>
          <w:rFonts w:hint="eastAsia"/>
        </w:rPr>
        <w:t>公司应当明确告知客户，披露评估金融产品的风险特征与客户风险承受能力的匹配情况不构成对客户投资收益的担保。</w:t>
      </w:r>
    </w:p>
    <w:p w:rsidR="00F466FA" w:rsidRDefault="00F466FA" w:rsidP="0021653F">
      <w:pPr>
        <w:ind w:firstLine="31680"/>
      </w:pPr>
      <w:r>
        <w:rPr>
          <w:rFonts w:hint="eastAsia"/>
        </w:rPr>
        <w:t>第二十五条</w:t>
      </w:r>
      <w:r>
        <w:t xml:space="preserve"> </w:t>
      </w:r>
      <w:r w:rsidRPr="000B1E42">
        <w:rPr>
          <w:rFonts w:hint="eastAsia"/>
        </w:rPr>
        <w:t>公司在开展市场推广活动时，应当以清晰、醒目的方式标明相关材料为推广材料，提示金融产品或金融服务的风险，明确产品或服务适合的对象。</w:t>
      </w:r>
    </w:p>
    <w:p w:rsidR="00F466FA" w:rsidRPr="000B1E42" w:rsidRDefault="00F466FA" w:rsidP="0021653F">
      <w:pPr>
        <w:tabs>
          <w:tab w:val="left" w:pos="0"/>
        </w:tabs>
        <w:spacing w:line="660" w:lineRule="exact"/>
        <w:ind w:firstLine="31680"/>
      </w:pPr>
      <w:r>
        <w:rPr>
          <w:rFonts w:hint="eastAsia"/>
        </w:rPr>
        <w:t>第二十六条</w:t>
      </w:r>
      <w:r>
        <w:t xml:space="preserve"> </w:t>
      </w:r>
      <w:r w:rsidRPr="000B1E42">
        <w:rPr>
          <w:rFonts w:hint="eastAsia"/>
        </w:rPr>
        <w:t>公司根据客户的风险承受能力等级、金融产品或金融服务的投资期限、投资品</w:t>
      </w:r>
      <w:r>
        <w:rPr>
          <w:rFonts w:hint="eastAsia"/>
        </w:rPr>
        <w:t>种及风险等级，向客户销售适当的金融产品或提供适当的金融服务，并要求</w:t>
      </w:r>
      <w:r w:rsidRPr="000B1E42">
        <w:rPr>
          <w:rFonts w:hint="eastAsia"/>
        </w:rPr>
        <w:t>客户签署</w:t>
      </w:r>
      <w:r>
        <w:rPr>
          <w:rFonts w:hint="eastAsia"/>
        </w:rPr>
        <w:t>《</w:t>
      </w:r>
      <w:r w:rsidRPr="000B1E42">
        <w:rPr>
          <w:rFonts w:hint="eastAsia"/>
        </w:rPr>
        <w:t>适当性评估结果确认书</w:t>
      </w:r>
      <w:r>
        <w:rPr>
          <w:rFonts w:hint="eastAsia"/>
        </w:rPr>
        <w:t>》（附件</w:t>
      </w:r>
      <w:r>
        <w:t>10</w:t>
      </w:r>
      <w:r>
        <w:rPr>
          <w:rFonts w:hint="eastAsia"/>
        </w:rPr>
        <w:t>），确认相应产品或服务的风险等级符合客户的风险承受能力等级、拟投资期限和拟投资品种</w:t>
      </w:r>
      <w:r w:rsidRPr="000B1E42">
        <w:rPr>
          <w:rFonts w:hint="eastAsia"/>
        </w:rPr>
        <w:t>。</w:t>
      </w:r>
    </w:p>
    <w:p w:rsidR="00F466FA" w:rsidRPr="005A2B1D" w:rsidRDefault="00F466FA" w:rsidP="0021653F">
      <w:pPr>
        <w:pStyle w:val="Paragrafoelenco1"/>
        <w:spacing w:after="0" w:line="660" w:lineRule="exact"/>
        <w:ind w:left="0" w:firstLineChars="244" w:firstLine="31680"/>
        <w:jc w:val="both"/>
        <w:rPr>
          <w:rFonts w:ascii="Calibri" w:hAnsi="Calibri"/>
          <w:kern w:val="2"/>
          <w:sz w:val="28"/>
          <w:lang w:eastAsia="zh-CN"/>
        </w:rPr>
      </w:pPr>
      <w:r>
        <w:rPr>
          <w:rFonts w:ascii="Calibri" w:hAnsi="Calibri" w:hint="eastAsia"/>
          <w:kern w:val="2"/>
          <w:sz w:val="28"/>
          <w:lang w:eastAsia="zh-CN"/>
        </w:rPr>
        <w:t>第二十七</w:t>
      </w:r>
      <w:r w:rsidRPr="005A2B1D">
        <w:rPr>
          <w:rFonts w:ascii="Calibri" w:hAnsi="Calibri" w:hint="eastAsia"/>
          <w:kern w:val="2"/>
          <w:sz w:val="28"/>
          <w:lang w:eastAsia="zh-CN"/>
        </w:rPr>
        <w:t>条</w:t>
      </w:r>
      <w:r>
        <w:rPr>
          <w:rFonts w:ascii="Calibri" w:hAnsi="Calibri"/>
          <w:kern w:val="2"/>
          <w:sz w:val="28"/>
          <w:lang w:eastAsia="zh-CN"/>
        </w:rPr>
        <w:t xml:space="preserve"> </w:t>
      </w:r>
      <w:r w:rsidRPr="005A2B1D">
        <w:rPr>
          <w:rFonts w:ascii="Calibri" w:hAnsi="Calibri" w:hint="eastAsia"/>
          <w:kern w:val="2"/>
          <w:sz w:val="28"/>
          <w:lang w:eastAsia="zh-CN"/>
        </w:rPr>
        <w:t>公司向客户销售的金融产品或提供的金融服务，应当符合以下要求：</w:t>
      </w:r>
    </w:p>
    <w:p w:rsidR="00F466FA" w:rsidRPr="005A2B1D" w:rsidRDefault="00F466FA" w:rsidP="0021653F">
      <w:pPr>
        <w:pStyle w:val="Paragrafoelenco1"/>
        <w:spacing w:after="0" w:line="660" w:lineRule="exact"/>
        <w:ind w:left="0" w:firstLineChars="244" w:firstLine="31680"/>
        <w:jc w:val="both"/>
        <w:rPr>
          <w:rFonts w:ascii="Calibri" w:hAnsi="Calibri"/>
          <w:kern w:val="2"/>
          <w:sz w:val="28"/>
          <w:lang w:eastAsia="zh-CN"/>
        </w:rPr>
      </w:pPr>
      <w:r w:rsidRPr="005A2B1D">
        <w:rPr>
          <w:rFonts w:ascii="Calibri" w:hAnsi="Calibri" w:hint="eastAsia"/>
          <w:kern w:val="2"/>
          <w:sz w:val="28"/>
          <w:lang w:eastAsia="zh-CN"/>
        </w:rPr>
        <w:t>（一）投资期限和品种符合客户的投资目标；</w:t>
      </w:r>
    </w:p>
    <w:p w:rsidR="00F466FA" w:rsidRPr="005A2B1D" w:rsidRDefault="00F466FA" w:rsidP="0021653F">
      <w:pPr>
        <w:pStyle w:val="Paragrafoelenco1"/>
        <w:spacing w:after="0" w:line="660" w:lineRule="exact"/>
        <w:ind w:left="0" w:firstLineChars="244" w:firstLine="31680"/>
        <w:jc w:val="both"/>
        <w:rPr>
          <w:rFonts w:ascii="Calibri" w:hAnsi="Calibri"/>
          <w:kern w:val="2"/>
          <w:sz w:val="28"/>
          <w:lang w:eastAsia="zh-CN"/>
        </w:rPr>
      </w:pPr>
      <w:r w:rsidRPr="005A2B1D">
        <w:rPr>
          <w:rFonts w:ascii="Calibri" w:hAnsi="Calibri" w:hint="eastAsia"/>
          <w:kern w:val="2"/>
          <w:sz w:val="28"/>
          <w:lang w:eastAsia="zh-CN"/>
        </w:rPr>
        <w:t>（二）</w:t>
      </w:r>
      <w:r>
        <w:rPr>
          <w:rFonts w:ascii="Calibri" w:hAnsi="Calibri" w:hint="eastAsia"/>
          <w:kern w:val="2"/>
          <w:sz w:val="28"/>
          <w:lang w:eastAsia="zh-CN"/>
        </w:rPr>
        <w:t>产品的</w:t>
      </w:r>
      <w:r w:rsidRPr="005A2B1D">
        <w:rPr>
          <w:rFonts w:ascii="Calibri" w:hAnsi="Calibri" w:hint="eastAsia"/>
          <w:kern w:val="2"/>
          <w:sz w:val="28"/>
          <w:lang w:eastAsia="zh-CN"/>
        </w:rPr>
        <w:t>风险等级</w:t>
      </w:r>
      <w:r>
        <w:rPr>
          <w:rFonts w:ascii="Calibri" w:hAnsi="Calibri" w:hint="eastAsia"/>
          <w:kern w:val="2"/>
          <w:sz w:val="28"/>
          <w:lang w:eastAsia="zh-CN"/>
        </w:rPr>
        <w:t>适合</w:t>
      </w:r>
      <w:r w:rsidRPr="005A2B1D">
        <w:rPr>
          <w:rFonts w:ascii="Calibri" w:hAnsi="Calibri" w:hint="eastAsia"/>
          <w:kern w:val="2"/>
          <w:sz w:val="28"/>
          <w:lang w:eastAsia="zh-CN"/>
        </w:rPr>
        <w:t>客户的风险承受能力等级；</w:t>
      </w:r>
    </w:p>
    <w:p w:rsidR="00F466FA" w:rsidRPr="005A2B1D" w:rsidRDefault="00F466FA" w:rsidP="0021653F">
      <w:pPr>
        <w:pStyle w:val="Paragrafoelenco1"/>
        <w:spacing w:after="0" w:line="660" w:lineRule="exact"/>
        <w:ind w:left="0" w:firstLineChars="244" w:firstLine="31680"/>
        <w:jc w:val="both"/>
        <w:rPr>
          <w:rFonts w:ascii="Calibri" w:hAnsi="Calibri"/>
          <w:kern w:val="2"/>
          <w:sz w:val="28"/>
          <w:lang w:eastAsia="zh-CN"/>
        </w:rPr>
      </w:pPr>
      <w:r w:rsidRPr="005A2B1D">
        <w:rPr>
          <w:rFonts w:ascii="Calibri" w:hAnsi="Calibri" w:hint="eastAsia"/>
          <w:kern w:val="2"/>
          <w:sz w:val="28"/>
          <w:lang w:eastAsia="zh-CN"/>
        </w:rPr>
        <w:t>（三）客户签署风险揭示书，确认已充分理解金融产品或金融服务的风险。</w:t>
      </w:r>
    </w:p>
    <w:p w:rsidR="00F466FA" w:rsidRPr="005A2B1D" w:rsidRDefault="00F466FA" w:rsidP="0021653F">
      <w:pPr>
        <w:pStyle w:val="Paragrafoelenco1"/>
        <w:spacing w:after="0" w:line="660" w:lineRule="exact"/>
        <w:ind w:left="0" w:firstLineChars="200" w:firstLine="31680"/>
        <w:jc w:val="both"/>
        <w:rPr>
          <w:rFonts w:ascii="Calibri" w:hAnsi="Calibri"/>
          <w:kern w:val="2"/>
          <w:sz w:val="28"/>
          <w:lang w:eastAsia="zh-CN"/>
        </w:rPr>
      </w:pPr>
      <w:r w:rsidRPr="005A2B1D">
        <w:rPr>
          <w:rFonts w:ascii="Calibri" w:hAnsi="Calibri" w:hint="eastAsia"/>
          <w:kern w:val="2"/>
          <w:sz w:val="28"/>
          <w:lang w:eastAsia="zh-CN"/>
        </w:rPr>
        <w:t>专业投资者具备必要的投资知识和经验，能够自行判断投资品种和期限是否符合其投资需求，能够理解金融产品或金融服务的风险，在财务上能够承担相应的投资风险。</w:t>
      </w:r>
    </w:p>
    <w:p w:rsidR="00F466FA" w:rsidRPr="005A2B1D" w:rsidRDefault="00F466FA" w:rsidP="0021653F">
      <w:pPr>
        <w:pStyle w:val="Paragrafoelenco1"/>
        <w:spacing w:after="0" w:line="660" w:lineRule="exact"/>
        <w:ind w:left="0" w:firstLineChars="200" w:firstLine="31680"/>
        <w:jc w:val="both"/>
        <w:rPr>
          <w:rFonts w:ascii="Calibri" w:hAnsi="Calibri"/>
          <w:kern w:val="2"/>
          <w:sz w:val="28"/>
          <w:lang w:eastAsia="zh-CN"/>
        </w:rPr>
      </w:pPr>
      <w:r w:rsidRPr="005A2B1D">
        <w:rPr>
          <w:rFonts w:ascii="Calibri" w:hAnsi="Calibri" w:hint="eastAsia"/>
          <w:kern w:val="2"/>
          <w:sz w:val="28"/>
          <w:lang w:eastAsia="zh-CN"/>
        </w:rPr>
        <w:t>公司向</w:t>
      </w:r>
      <w:r>
        <w:rPr>
          <w:rFonts w:ascii="Calibri" w:hAnsi="Calibri" w:hint="eastAsia"/>
          <w:kern w:val="2"/>
          <w:sz w:val="28"/>
          <w:lang w:eastAsia="zh-CN"/>
        </w:rPr>
        <w:t>本细则</w:t>
      </w:r>
      <w:r w:rsidRPr="005A2B1D">
        <w:rPr>
          <w:rFonts w:ascii="Calibri" w:hAnsi="Calibri" w:hint="eastAsia"/>
          <w:kern w:val="2"/>
          <w:sz w:val="28"/>
          <w:lang w:eastAsia="zh-CN"/>
        </w:rPr>
        <w:t>第</w:t>
      </w:r>
      <w:r>
        <w:rPr>
          <w:rFonts w:ascii="Calibri" w:hAnsi="Calibri" w:hint="eastAsia"/>
          <w:kern w:val="2"/>
          <w:sz w:val="28"/>
          <w:lang w:eastAsia="zh-CN"/>
        </w:rPr>
        <w:t>八</w:t>
      </w:r>
      <w:r w:rsidRPr="005A2B1D">
        <w:rPr>
          <w:rFonts w:ascii="Calibri" w:hAnsi="Calibri" w:hint="eastAsia"/>
          <w:kern w:val="2"/>
          <w:sz w:val="28"/>
          <w:lang w:eastAsia="zh-CN"/>
        </w:rPr>
        <w:t>条第（一）、（二）项规定的专业投资者销售金融产品或提供金融服务，不适用本条第一款第（一）、（二）、（三）项的规定。</w:t>
      </w:r>
      <w:r>
        <w:rPr>
          <w:rFonts w:ascii="Calibri" w:hAnsi="Calibri" w:hint="eastAsia"/>
          <w:kern w:val="2"/>
          <w:sz w:val="28"/>
          <w:lang w:eastAsia="zh-CN"/>
        </w:rPr>
        <w:t>公司向本细则</w:t>
      </w:r>
      <w:r w:rsidRPr="005A2B1D">
        <w:rPr>
          <w:rFonts w:ascii="Calibri" w:hAnsi="Calibri" w:hint="eastAsia"/>
          <w:kern w:val="2"/>
          <w:sz w:val="28"/>
          <w:lang w:eastAsia="zh-CN"/>
        </w:rPr>
        <w:t>第十</w:t>
      </w:r>
      <w:r>
        <w:rPr>
          <w:rFonts w:ascii="Calibri" w:hAnsi="Calibri" w:hint="eastAsia"/>
          <w:kern w:val="2"/>
          <w:sz w:val="28"/>
          <w:lang w:eastAsia="zh-CN"/>
        </w:rPr>
        <w:t>八</w:t>
      </w:r>
      <w:r w:rsidRPr="005A2B1D">
        <w:rPr>
          <w:rFonts w:ascii="Calibri" w:hAnsi="Calibri" w:hint="eastAsia"/>
          <w:kern w:val="2"/>
          <w:sz w:val="28"/>
          <w:lang w:eastAsia="zh-CN"/>
        </w:rPr>
        <w:t>第（三）、（四）项规定的专业投资者销售金融产品或提供金融服务，不适用本条第一款第（二）、（三）项的规定。</w:t>
      </w:r>
    </w:p>
    <w:p w:rsidR="00F466FA" w:rsidRPr="00C3704E" w:rsidRDefault="00F466FA" w:rsidP="0021653F">
      <w:pPr>
        <w:pStyle w:val="Paragrafoelenco1"/>
        <w:spacing w:after="0" w:line="660" w:lineRule="exact"/>
        <w:ind w:leftChars="76" w:left="31680" w:firstLineChars="194" w:firstLine="31680"/>
        <w:jc w:val="both"/>
        <w:rPr>
          <w:rFonts w:ascii="Calibri" w:hAnsi="Calibri"/>
          <w:kern w:val="2"/>
          <w:sz w:val="28"/>
          <w:lang w:eastAsia="zh-CN"/>
        </w:rPr>
      </w:pPr>
      <w:r>
        <w:rPr>
          <w:rFonts w:ascii="Calibri" w:hAnsi="Calibri" w:hint="eastAsia"/>
          <w:kern w:val="2"/>
          <w:sz w:val="28"/>
          <w:lang w:eastAsia="zh-CN"/>
        </w:rPr>
        <w:t>第二十八</w:t>
      </w:r>
      <w:r w:rsidRPr="00C3704E">
        <w:rPr>
          <w:rFonts w:ascii="Calibri" w:hAnsi="Calibri" w:hint="eastAsia"/>
          <w:kern w:val="2"/>
          <w:sz w:val="28"/>
          <w:lang w:eastAsia="zh-CN"/>
        </w:rPr>
        <w:t>条</w:t>
      </w:r>
      <w:r w:rsidRPr="00C3704E">
        <w:rPr>
          <w:rFonts w:ascii="Calibri" w:hAnsi="Calibri"/>
          <w:kern w:val="2"/>
          <w:sz w:val="28"/>
          <w:lang w:eastAsia="zh-CN"/>
        </w:rPr>
        <w:t xml:space="preserve"> </w:t>
      </w:r>
      <w:r w:rsidRPr="00C3704E">
        <w:rPr>
          <w:rFonts w:ascii="Calibri" w:hAnsi="Calibri" w:hint="eastAsia"/>
          <w:kern w:val="2"/>
          <w:sz w:val="28"/>
          <w:lang w:eastAsia="zh-CN"/>
        </w:rPr>
        <w:t>公司向客户销售的金融产品涉及投资组合或资产配置的，应当按照投资组合或资产配置的整体风险对客户进行适当性评估。</w:t>
      </w:r>
    </w:p>
    <w:p w:rsidR="00F466FA" w:rsidRPr="00C3704E" w:rsidRDefault="00F466FA" w:rsidP="0021653F">
      <w:pPr>
        <w:pStyle w:val="Paragrafoelenco1"/>
        <w:spacing w:after="0" w:line="660" w:lineRule="exact"/>
        <w:ind w:left="0" w:firstLineChars="244" w:firstLine="31680"/>
        <w:jc w:val="both"/>
        <w:rPr>
          <w:rFonts w:ascii="Calibri" w:hAnsi="Calibri"/>
          <w:kern w:val="2"/>
          <w:sz w:val="28"/>
          <w:lang w:eastAsia="zh-CN"/>
        </w:rPr>
      </w:pPr>
      <w:r w:rsidRPr="00C3704E">
        <w:rPr>
          <w:rFonts w:ascii="Calibri" w:hAnsi="Calibri" w:hint="eastAsia"/>
          <w:kern w:val="2"/>
          <w:sz w:val="28"/>
          <w:lang w:eastAsia="zh-CN"/>
        </w:rPr>
        <w:t>公司向专业投资者销售金融产品，不适用前款规定。</w:t>
      </w:r>
    </w:p>
    <w:p w:rsidR="00F466FA" w:rsidRPr="00C3704E" w:rsidRDefault="00F466FA" w:rsidP="0021653F">
      <w:pPr>
        <w:tabs>
          <w:tab w:val="left" w:pos="0"/>
        </w:tabs>
        <w:spacing w:line="660" w:lineRule="exact"/>
        <w:ind w:firstLine="31680"/>
      </w:pPr>
      <w:r>
        <w:rPr>
          <w:rFonts w:hint="eastAsia"/>
        </w:rPr>
        <w:t>第二十九条</w:t>
      </w:r>
      <w:r>
        <w:t xml:space="preserve"> </w:t>
      </w:r>
      <w:r>
        <w:rPr>
          <w:rFonts w:hint="eastAsia"/>
        </w:rPr>
        <w:t>产品销售服务人员</w:t>
      </w:r>
      <w:r w:rsidRPr="00C3704E">
        <w:rPr>
          <w:rFonts w:hint="eastAsia"/>
        </w:rPr>
        <w:t>应当告知客户</w:t>
      </w:r>
      <w:r>
        <w:rPr>
          <w:rFonts w:hint="eastAsia"/>
        </w:rPr>
        <w:t>，</w:t>
      </w:r>
      <w:r w:rsidRPr="00C3704E">
        <w:rPr>
          <w:rFonts w:hint="eastAsia"/>
        </w:rPr>
        <w:t>公司履行投资者适当性职责不能取代客户本人的投资判断，不会降低金融产品或金融服务的固有风险，也不会影响客户依法承担相应的投资风险、履约责任以及费用。</w:t>
      </w:r>
    </w:p>
    <w:p w:rsidR="00F466FA" w:rsidRDefault="00F466FA" w:rsidP="0021653F">
      <w:pPr>
        <w:tabs>
          <w:tab w:val="left" w:pos="720"/>
        </w:tabs>
        <w:spacing w:line="660" w:lineRule="exact"/>
        <w:ind w:firstLine="31680"/>
      </w:pPr>
      <w:r>
        <w:rPr>
          <w:rFonts w:hint="eastAsia"/>
        </w:rPr>
        <w:t>第三十条</w:t>
      </w:r>
      <w:r>
        <w:t xml:space="preserve"> </w:t>
      </w:r>
      <w:r>
        <w:rPr>
          <w:rFonts w:hint="eastAsia"/>
        </w:rPr>
        <w:t>产品销售服务人员</w:t>
      </w:r>
      <w:r w:rsidRPr="00C3704E">
        <w:rPr>
          <w:rFonts w:hint="eastAsia"/>
        </w:rPr>
        <w:t>认为客户购买金融产品或接受金融服务不适当或者无法判断是否适当的，不得主动向客户推介。客户要求购买或接受高于其风险承受能力等级的金融产品或金融服务</w:t>
      </w:r>
      <w:r>
        <w:rPr>
          <w:rFonts w:hint="eastAsia"/>
        </w:rPr>
        <w:t>的，</w:t>
      </w:r>
      <w:r w:rsidRPr="00C3704E">
        <w:rPr>
          <w:rFonts w:hint="eastAsia"/>
        </w:rPr>
        <w:t>应当进行风险提示。客户经风险提示后仍坚持购买产品或接受服务</w:t>
      </w:r>
      <w:r>
        <w:rPr>
          <w:rFonts w:hint="eastAsia"/>
        </w:rPr>
        <w:t>的，产品销售服务人员</w:t>
      </w:r>
      <w:r w:rsidRPr="00C3704E">
        <w:rPr>
          <w:rFonts w:hint="eastAsia"/>
        </w:rPr>
        <w:t>应当要求客户</w:t>
      </w:r>
      <w:r>
        <w:rPr>
          <w:rFonts w:hint="eastAsia"/>
        </w:rPr>
        <w:t>签署《金融产品或金融服务不适当警示及客户投资确认书》（附件</w:t>
      </w:r>
      <w:r>
        <w:t>11</w:t>
      </w:r>
      <w:r>
        <w:rPr>
          <w:rFonts w:hint="eastAsia"/>
        </w:rPr>
        <w:t>）</w:t>
      </w:r>
      <w:r w:rsidRPr="00C3704E">
        <w:rPr>
          <w:rFonts w:hint="eastAsia"/>
        </w:rPr>
        <w:t>，由客户承诺对投资决定自行承担责任</w:t>
      </w:r>
      <w:r>
        <w:rPr>
          <w:rFonts w:hint="eastAsia"/>
        </w:rPr>
        <w:t>。</w:t>
      </w:r>
      <w:r>
        <w:t xml:space="preserve">   </w:t>
      </w:r>
    </w:p>
    <w:p w:rsidR="00F466FA" w:rsidRDefault="00F466FA" w:rsidP="0021653F">
      <w:pPr>
        <w:tabs>
          <w:tab w:val="left" w:pos="720"/>
        </w:tabs>
        <w:spacing w:line="660" w:lineRule="exact"/>
        <w:ind w:firstLine="31680"/>
      </w:pPr>
      <w:r>
        <w:rPr>
          <w:rFonts w:hint="eastAsia"/>
        </w:rPr>
        <w:t>产品销售服务人员</w:t>
      </w:r>
      <w:r w:rsidRPr="00C3704E">
        <w:rPr>
          <w:rFonts w:hint="eastAsia"/>
        </w:rPr>
        <w:t>应当保存相关提示记录和确认文件，做好留痕工作。</w:t>
      </w:r>
    </w:p>
    <w:p w:rsidR="00F466FA" w:rsidRPr="004D7944" w:rsidRDefault="00F466FA" w:rsidP="0021653F">
      <w:pPr>
        <w:ind w:firstLine="31680"/>
        <w:jc w:val="center"/>
        <w:rPr>
          <w:b/>
          <w:sz w:val="30"/>
          <w:szCs w:val="30"/>
        </w:rPr>
      </w:pPr>
      <w:r w:rsidRPr="004D7944">
        <w:rPr>
          <w:rFonts w:hint="eastAsia"/>
          <w:b/>
          <w:sz w:val="30"/>
          <w:szCs w:val="30"/>
        </w:rPr>
        <w:t>第五章</w:t>
      </w:r>
      <w:r w:rsidRPr="004D7944">
        <w:rPr>
          <w:b/>
          <w:sz w:val="30"/>
          <w:szCs w:val="30"/>
        </w:rPr>
        <w:t xml:space="preserve"> </w:t>
      </w:r>
      <w:r w:rsidRPr="004D7944">
        <w:rPr>
          <w:rFonts w:hint="eastAsia"/>
          <w:b/>
          <w:sz w:val="30"/>
          <w:szCs w:val="30"/>
        </w:rPr>
        <w:t>执行投资者适当性制度的保障措施</w:t>
      </w:r>
    </w:p>
    <w:p w:rsidR="00F466FA" w:rsidRDefault="00F466FA" w:rsidP="0021653F">
      <w:pPr>
        <w:ind w:firstLine="31680"/>
      </w:pPr>
      <w:r>
        <w:rPr>
          <w:rFonts w:hint="eastAsia"/>
        </w:rPr>
        <w:t>第三十一条</w:t>
      </w:r>
      <w:r>
        <w:t xml:space="preserve"> </w:t>
      </w:r>
      <w:r>
        <w:rPr>
          <w:rFonts w:hint="eastAsia"/>
        </w:rPr>
        <w:t>公司根据业务发展和实际情况，不定期对相关岗位人员进行培训，提高其履行投资者适当性工作职责所需的知识和技能。培训内容应当包括相关法律法规及公司制度，金融产品或金融服务的结构、风险特征、适用对象等。</w:t>
      </w:r>
    </w:p>
    <w:p w:rsidR="00F466FA" w:rsidRDefault="00F466FA" w:rsidP="0021653F">
      <w:pPr>
        <w:ind w:firstLine="31680"/>
      </w:pPr>
      <w:r>
        <w:rPr>
          <w:rFonts w:hint="eastAsia"/>
        </w:rPr>
        <w:t>前款所述培训每年应不少于</w:t>
      </w:r>
      <w:r>
        <w:t>1</w:t>
      </w:r>
      <w:r>
        <w:rPr>
          <w:rFonts w:hint="eastAsia"/>
        </w:rPr>
        <w:t>次，业务部门和分支机构也可根据自身业务发展和实际情况需要主动对相关岗位人员进行投资者适当性方面的培训。</w:t>
      </w:r>
    </w:p>
    <w:p w:rsidR="00F466FA" w:rsidRDefault="00F466FA" w:rsidP="0021653F">
      <w:pPr>
        <w:ind w:firstLine="31680"/>
      </w:pPr>
      <w:r>
        <w:rPr>
          <w:rFonts w:hint="eastAsia"/>
        </w:rPr>
        <w:t>第三十二条</w:t>
      </w:r>
      <w:r>
        <w:t xml:space="preserve"> </w:t>
      </w:r>
      <w:r>
        <w:rPr>
          <w:rFonts w:hint="eastAsia"/>
        </w:rPr>
        <w:t>公司应当将相关岗位工作人员履行投资者适当性工作职责的情况纳入绩效考核范围，并细化该项考核因素在整个考核体系中所占的比重和分值。</w:t>
      </w:r>
    </w:p>
    <w:p w:rsidR="00F466FA" w:rsidRPr="0063166D" w:rsidRDefault="00F466FA" w:rsidP="0021653F">
      <w:pPr>
        <w:tabs>
          <w:tab w:val="left" w:pos="0"/>
        </w:tabs>
        <w:ind w:firstLine="31680"/>
        <w:rPr>
          <w:rFonts w:ascii="仿宋_GB2312" w:eastAsia="仿宋_GB2312" w:hAnsi="宋体"/>
          <w:sz w:val="32"/>
          <w:szCs w:val="32"/>
        </w:rPr>
      </w:pPr>
      <w:r>
        <w:rPr>
          <w:rFonts w:hint="eastAsia"/>
        </w:rPr>
        <w:t>承担适当性管理职责的各业务部门、分支机构不得采取</w:t>
      </w:r>
      <w:r w:rsidRPr="00C20161">
        <w:rPr>
          <w:rFonts w:hint="eastAsia"/>
        </w:rPr>
        <w:t>可能鼓励其工作人员向客户销售不适当金融产品或提供不适当金融服务的考核、激励机制或措施。</w:t>
      </w:r>
    </w:p>
    <w:p w:rsidR="00F466FA" w:rsidRDefault="00F466FA" w:rsidP="0021653F">
      <w:pPr>
        <w:ind w:firstLine="31680"/>
      </w:pPr>
      <w:r>
        <w:rPr>
          <w:rFonts w:hint="eastAsia"/>
        </w:rPr>
        <w:t>第三十三</w:t>
      </w:r>
      <w:r w:rsidRPr="004B7FC9">
        <w:rPr>
          <w:rFonts w:hint="eastAsia"/>
        </w:rPr>
        <w:t>条</w:t>
      </w:r>
      <w:r>
        <w:t xml:space="preserve"> </w:t>
      </w:r>
      <w:r>
        <w:rPr>
          <w:rFonts w:hint="eastAsia"/>
        </w:rPr>
        <w:t>公司各分支机构合规专员及负责人对相关岗位工作人员履行投资者适当性工作职责的执业行为实施第一层监督，发现有违反公司投资者适当性制度的，应当及时制止、纠正并报告合规风控中心，合规风控中心按照</w:t>
      </w:r>
      <w:r w:rsidRPr="009E0410">
        <w:rPr>
          <w:rFonts w:hint="eastAsia"/>
        </w:rPr>
        <w:t>《西藏同信证券合规考核评分管理办法》、《西藏同信证券合规有效性管理实施细则》等相关规定进行处理。</w:t>
      </w:r>
    </w:p>
    <w:p w:rsidR="00F466FA" w:rsidRDefault="00F466FA" w:rsidP="009E0410">
      <w:pPr>
        <w:ind w:firstLineChars="0" w:firstLine="0"/>
      </w:pPr>
      <w:r>
        <w:t xml:space="preserve">    </w:t>
      </w:r>
      <w:r>
        <w:rPr>
          <w:rFonts w:hint="eastAsia"/>
        </w:rPr>
        <w:t>分支机构合规专员、负责人及承担适当性管理、监督职责的业务部门工作人员未履行其适当性管理、监督职责的，公司根据相关规定追究其责任。</w:t>
      </w:r>
    </w:p>
    <w:p w:rsidR="00F466FA" w:rsidRPr="00A37259" w:rsidRDefault="00F466FA" w:rsidP="0021653F">
      <w:pPr>
        <w:tabs>
          <w:tab w:val="left" w:pos="0"/>
        </w:tabs>
        <w:spacing w:line="660" w:lineRule="exact"/>
        <w:ind w:firstLine="31680"/>
      </w:pPr>
      <w:r>
        <w:rPr>
          <w:rFonts w:hint="eastAsia"/>
        </w:rPr>
        <w:t>第三十四条</w:t>
      </w:r>
      <w:r>
        <w:t xml:space="preserve"> </w:t>
      </w:r>
      <w:r w:rsidRPr="00A37259">
        <w:rPr>
          <w:rFonts w:hint="eastAsia"/>
        </w:rPr>
        <w:t>公司应当妥善保存与履行投资者适当性职责有关的信息和资料，包括：</w:t>
      </w:r>
    </w:p>
    <w:p w:rsidR="00F466FA" w:rsidRPr="00A37259" w:rsidRDefault="00F466FA" w:rsidP="0021653F">
      <w:pPr>
        <w:tabs>
          <w:tab w:val="left" w:pos="0"/>
        </w:tabs>
        <w:spacing w:line="660" w:lineRule="exact"/>
        <w:ind w:firstLine="31680"/>
      </w:pPr>
      <w:r w:rsidRPr="00A37259">
        <w:rPr>
          <w:rFonts w:hint="eastAsia"/>
        </w:rPr>
        <w:t>（一）客户信息和资料；</w:t>
      </w:r>
    </w:p>
    <w:p w:rsidR="00F466FA" w:rsidRPr="00A37259" w:rsidRDefault="00F466FA" w:rsidP="0021653F">
      <w:pPr>
        <w:tabs>
          <w:tab w:val="left" w:pos="0"/>
        </w:tabs>
        <w:spacing w:line="660" w:lineRule="exact"/>
        <w:ind w:firstLine="31680"/>
      </w:pPr>
      <w:r w:rsidRPr="00A37259">
        <w:rPr>
          <w:rFonts w:hint="eastAsia"/>
        </w:rPr>
        <w:t>（二）金融产品或金融服务信息和资料；</w:t>
      </w:r>
      <w:r w:rsidRPr="00A37259">
        <w:t xml:space="preserve"> </w:t>
      </w:r>
    </w:p>
    <w:p w:rsidR="00F466FA" w:rsidRPr="00A37259" w:rsidRDefault="00F466FA" w:rsidP="0021653F">
      <w:pPr>
        <w:tabs>
          <w:tab w:val="left" w:pos="0"/>
        </w:tabs>
        <w:spacing w:line="660" w:lineRule="exact"/>
        <w:ind w:firstLine="31680"/>
      </w:pPr>
      <w:r w:rsidRPr="00A37259">
        <w:rPr>
          <w:rFonts w:hint="eastAsia"/>
        </w:rPr>
        <w:t>（三）客户风险承受能力评估、评级资料；</w:t>
      </w:r>
    </w:p>
    <w:p w:rsidR="00F466FA" w:rsidRPr="00A37259" w:rsidRDefault="00F466FA" w:rsidP="0021653F">
      <w:pPr>
        <w:tabs>
          <w:tab w:val="left" w:pos="0"/>
        </w:tabs>
        <w:spacing w:line="660" w:lineRule="exact"/>
        <w:ind w:firstLine="31680"/>
      </w:pPr>
      <w:r w:rsidRPr="00A37259">
        <w:rPr>
          <w:rFonts w:hint="eastAsia"/>
        </w:rPr>
        <w:t>（四）金融产品或金融服务的风险等级划分资料；</w:t>
      </w:r>
    </w:p>
    <w:p w:rsidR="00F466FA" w:rsidRPr="00A37259" w:rsidRDefault="00F466FA" w:rsidP="0021653F">
      <w:pPr>
        <w:tabs>
          <w:tab w:val="left" w:pos="0"/>
        </w:tabs>
        <w:spacing w:line="660" w:lineRule="exact"/>
        <w:ind w:firstLine="31680"/>
      </w:pPr>
      <w:r w:rsidRPr="00A37259">
        <w:rPr>
          <w:rFonts w:hint="eastAsia"/>
        </w:rPr>
        <w:t>（五）金融产品或金融服务的适当性评估结果资料；</w:t>
      </w:r>
    </w:p>
    <w:p w:rsidR="00F466FA" w:rsidRPr="00A37259" w:rsidRDefault="00F466FA" w:rsidP="0021653F">
      <w:pPr>
        <w:tabs>
          <w:tab w:val="left" w:pos="0"/>
        </w:tabs>
        <w:spacing w:line="660" w:lineRule="exact"/>
        <w:ind w:firstLine="31680"/>
      </w:pPr>
      <w:r w:rsidRPr="00A37259">
        <w:rPr>
          <w:rFonts w:hint="eastAsia"/>
        </w:rPr>
        <w:t>（六）向客户提供的投资建议及依据；</w:t>
      </w:r>
    </w:p>
    <w:p w:rsidR="00F466FA" w:rsidRPr="00A37259" w:rsidRDefault="00F466FA" w:rsidP="0021653F">
      <w:pPr>
        <w:tabs>
          <w:tab w:val="left" w:pos="0"/>
        </w:tabs>
        <w:spacing w:line="660" w:lineRule="exact"/>
        <w:ind w:firstLine="31680"/>
      </w:pPr>
      <w:r w:rsidRPr="00A37259">
        <w:rPr>
          <w:rFonts w:hint="eastAsia"/>
        </w:rPr>
        <w:t>（七）向客户发送和客户签署的文件；</w:t>
      </w:r>
    </w:p>
    <w:p w:rsidR="00F466FA" w:rsidRPr="00A37259" w:rsidRDefault="00F466FA" w:rsidP="0021653F">
      <w:pPr>
        <w:tabs>
          <w:tab w:val="left" w:pos="0"/>
        </w:tabs>
        <w:spacing w:line="660" w:lineRule="exact"/>
        <w:ind w:firstLine="31680"/>
      </w:pPr>
      <w:r w:rsidRPr="00A37259">
        <w:rPr>
          <w:rFonts w:hint="eastAsia"/>
        </w:rPr>
        <w:t>（八）其他相关信息和资料。</w:t>
      </w:r>
    </w:p>
    <w:p w:rsidR="00F466FA" w:rsidRPr="00A37259" w:rsidRDefault="00F466FA" w:rsidP="0021653F">
      <w:pPr>
        <w:tabs>
          <w:tab w:val="left" w:pos="0"/>
        </w:tabs>
        <w:spacing w:line="660" w:lineRule="exact"/>
        <w:ind w:firstLine="31680"/>
      </w:pPr>
      <w:r>
        <w:rPr>
          <w:rFonts w:hint="eastAsia"/>
        </w:rPr>
        <w:t>第三十五条</w:t>
      </w:r>
      <w:r>
        <w:t xml:space="preserve"> </w:t>
      </w:r>
      <w:r>
        <w:rPr>
          <w:rFonts w:hint="eastAsia"/>
        </w:rPr>
        <w:t>承担适当性管理职责的业务部门</w:t>
      </w:r>
      <w:r w:rsidRPr="00A37259">
        <w:rPr>
          <w:rFonts w:hint="eastAsia"/>
        </w:rPr>
        <w:t>及</w:t>
      </w:r>
      <w:r>
        <w:rPr>
          <w:rFonts w:hint="eastAsia"/>
        </w:rPr>
        <w:t>分支机构相关岗位</w:t>
      </w:r>
      <w:r w:rsidRPr="00A37259">
        <w:rPr>
          <w:rFonts w:hint="eastAsia"/>
        </w:rPr>
        <w:t>工作人员应当对履行投资者适当性工作职责过程中获取的客户信息、客户风险承受能力评级结果等信息和资料严格保密，防止该等信息和资料被泄露或被不当利用。</w:t>
      </w:r>
    </w:p>
    <w:p w:rsidR="00F466FA" w:rsidRPr="004D7944" w:rsidRDefault="00F466FA" w:rsidP="0021653F">
      <w:pPr>
        <w:tabs>
          <w:tab w:val="left" w:pos="0"/>
        </w:tabs>
        <w:spacing w:line="660" w:lineRule="exact"/>
        <w:ind w:firstLine="31680"/>
      </w:pPr>
      <w:r>
        <w:rPr>
          <w:rFonts w:hint="eastAsia"/>
        </w:rPr>
        <w:t>第三十六条</w:t>
      </w:r>
      <w:r>
        <w:t xml:space="preserve"> </w:t>
      </w:r>
      <w:r>
        <w:rPr>
          <w:rFonts w:hint="eastAsia"/>
        </w:rPr>
        <w:t>分支机构、承担适当性管理职责的业务部门</w:t>
      </w:r>
      <w:r w:rsidRPr="004D7944">
        <w:rPr>
          <w:rFonts w:hint="eastAsia"/>
        </w:rPr>
        <w:t>应妥善处理因履行投资者适当性职责引起的客户投诉，保存投诉情况及处理记录，及时分析总结，</w:t>
      </w:r>
      <w:r>
        <w:rPr>
          <w:rFonts w:hint="eastAsia"/>
        </w:rPr>
        <w:t>不断</w:t>
      </w:r>
      <w:r w:rsidRPr="004D7944">
        <w:rPr>
          <w:rFonts w:hint="eastAsia"/>
        </w:rPr>
        <w:t>改进和完善相关制度和机制。</w:t>
      </w:r>
      <w:r>
        <w:t xml:space="preserve"> </w:t>
      </w:r>
    </w:p>
    <w:p w:rsidR="00F466FA" w:rsidRDefault="00F466FA" w:rsidP="0021653F">
      <w:pPr>
        <w:ind w:firstLine="31680"/>
        <w:jc w:val="center"/>
        <w:rPr>
          <w:b/>
          <w:sz w:val="30"/>
          <w:szCs w:val="30"/>
        </w:rPr>
      </w:pPr>
    </w:p>
    <w:p w:rsidR="00F466FA" w:rsidRDefault="00F466FA" w:rsidP="0021653F">
      <w:pPr>
        <w:ind w:firstLine="31680"/>
        <w:jc w:val="center"/>
        <w:rPr>
          <w:b/>
          <w:sz w:val="30"/>
          <w:szCs w:val="30"/>
        </w:rPr>
      </w:pPr>
      <w:r w:rsidRPr="004B7FC9">
        <w:rPr>
          <w:rFonts w:hint="eastAsia"/>
          <w:b/>
          <w:sz w:val="30"/>
          <w:szCs w:val="30"/>
        </w:rPr>
        <w:t>第六章</w:t>
      </w:r>
      <w:r w:rsidRPr="004B7FC9">
        <w:rPr>
          <w:b/>
          <w:sz w:val="30"/>
          <w:szCs w:val="30"/>
        </w:rPr>
        <w:t xml:space="preserve"> </w:t>
      </w:r>
      <w:r w:rsidRPr="004B7FC9">
        <w:rPr>
          <w:rFonts w:hint="eastAsia"/>
          <w:b/>
          <w:sz w:val="30"/>
          <w:szCs w:val="30"/>
        </w:rPr>
        <w:t>附</w:t>
      </w:r>
      <w:r w:rsidRPr="004B7FC9">
        <w:rPr>
          <w:b/>
          <w:sz w:val="30"/>
          <w:szCs w:val="30"/>
        </w:rPr>
        <w:t xml:space="preserve">    </w:t>
      </w:r>
      <w:r w:rsidRPr="004B7FC9">
        <w:rPr>
          <w:rFonts w:hint="eastAsia"/>
          <w:b/>
          <w:sz w:val="30"/>
          <w:szCs w:val="30"/>
        </w:rPr>
        <w:t>则</w:t>
      </w:r>
    </w:p>
    <w:p w:rsidR="00F466FA" w:rsidRDefault="00F466FA" w:rsidP="004B7FC9">
      <w:pPr>
        <w:ind w:firstLineChars="0" w:firstLine="0"/>
      </w:pPr>
      <w:r>
        <w:rPr>
          <w:b/>
          <w:sz w:val="30"/>
          <w:szCs w:val="30"/>
        </w:rPr>
        <w:t xml:space="preserve">    </w:t>
      </w:r>
      <w:r>
        <w:rPr>
          <w:rFonts w:hint="eastAsia"/>
        </w:rPr>
        <w:t>第三十七</w:t>
      </w:r>
      <w:r w:rsidRPr="004B7FC9">
        <w:rPr>
          <w:rFonts w:hint="eastAsia"/>
        </w:rPr>
        <w:t>条</w:t>
      </w:r>
      <w:r w:rsidRPr="004B7FC9">
        <w:t xml:space="preserve"> </w:t>
      </w:r>
      <w:r w:rsidRPr="004B7FC9">
        <w:rPr>
          <w:rFonts w:hint="eastAsia"/>
        </w:rPr>
        <w:t>本细则由合规风控中心负责解释和修订。</w:t>
      </w:r>
    </w:p>
    <w:p w:rsidR="00F466FA" w:rsidRPr="004B7FC9" w:rsidRDefault="00F466FA" w:rsidP="0021653F">
      <w:pPr>
        <w:ind w:firstLine="31680"/>
      </w:pPr>
      <w:r>
        <w:rPr>
          <w:rFonts w:hint="eastAsia"/>
        </w:rPr>
        <w:t>第三十八</w:t>
      </w:r>
      <w:r w:rsidRPr="004B7FC9">
        <w:rPr>
          <w:rFonts w:hint="eastAsia"/>
        </w:rPr>
        <w:t>条</w:t>
      </w:r>
      <w:r w:rsidRPr="004B7FC9">
        <w:t xml:space="preserve"> </w:t>
      </w:r>
      <w:r w:rsidRPr="004B7FC9">
        <w:rPr>
          <w:rFonts w:hint="eastAsia"/>
        </w:rPr>
        <w:t>本细则自发布之日起实施。</w:t>
      </w:r>
    </w:p>
    <w:sectPr w:rsidR="00F466FA" w:rsidRPr="004B7FC9" w:rsidSect="000E171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6FA" w:rsidRDefault="00F466FA" w:rsidP="009F55BF">
      <w:pPr>
        <w:spacing w:line="240" w:lineRule="auto"/>
        <w:ind w:firstLine="31680"/>
      </w:pPr>
      <w:r>
        <w:separator/>
      </w:r>
    </w:p>
  </w:endnote>
  <w:endnote w:type="continuationSeparator" w:id="0">
    <w:p w:rsidR="00F466FA" w:rsidRDefault="00F466FA" w:rsidP="009F55BF">
      <w:pPr>
        <w:spacing w:line="240" w:lineRule="auto"/>
        <w:ind w:firstLine="3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FA" w:rsidRDefault="00F466FA" w:rsidP="009F55BF">
    <w:pPr>
      <w:pStyle w:val="Footer"/>
      <w:ind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FA" w:rsidRDefault="00F466FA" w:rsidP="009F55BF">
    <w:pPr>
      <w:pStyle w:val="Footer"/>
      <w:ind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FA" w:rsidRDefault="00F466FA" w:rsidP="009F55BF">
    <w:pPr>
      <w:pStyle w:val="Foote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6FA" w:rsidRDefault="00F466FA" w:rsidP="009F55BF">
      <w:pPr>
        <w:spacing w:line="240" w:lineRule="auto"/>
        <w:ind w:firstLine="31680"/>
      </w:pPr>
      <w:r>
        <w:separator/>
      </w:r>
    </w:p>
  </w:footnote>
  <w:footnote w:type="continuationSeparator" w:id="0">
    <w:p w:rsidR="00F466FA" w:rsidRDefault="00F466FA" w:rsidP="009F55BF">
      <w:pPr>
        <w:spacing w:line="240" w:lineRule="auto"/>
        <w:ind w:firstLine="3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FA" w:rsidRDefault="00F466FA" w:rsidP="009F55BF">
    <w:pPr>
      <w:pStyle w:val="Header"/>
      <w:ind w:firstLine="316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FA" w:rsidRDefault="00F466FA" w:rsidP="009F55BF">
    <w:pPr>
      <w:pStyle w:val="Header"/>
      <w:ind w:firstLine="316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FA" w:rsidRDefault="00F466FA" w:rsidP="009F55BF">
    <w:pPr>
      <w:pStyle w:val="Header"/>
      <w:ind w:firstLine="316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D0BE2"/>
    <w:multiLevelType w:val="hybridMultilevel"/>
    <w:tmpl w:val="FC281EB0"/>
    <w:lvl w:ilvl="0" w:tplc="5068134E">
      <w:start w:val="1"/>
      <w:numFmt w:val="japaneseCounting"/>
      <w:lvlText w:val="第%1章"/>
      <w:lvlJc w:val="left"/>
      <w:pPr>
        <w:ind w:left="1415" w:hanging="85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0B9"/>
    <w:rsid w:val="000779E1"/>
    <w:rsid w:val="00082910"/>
    <w:rsid w:val="000A415C"/>
    <w:rsid w:val="000A6F63"/>
    <w:rsid w:val="000B1E42"/>
    <w:rsid w:val="000C140D"/>
    <w:rsid w:val="000E1713"/>
    <w:rsid w:val="00103AAA"/>
    <w:rsid w:val="0013135C"/>
    <w:rsid w:val="00154FCC"/>
    <w:rsid w:val="00155086"/>
    <w:rsid w:val="001A6F94"/>
    <w:rsid w:val="001F145A"/>
    <w:rsid w:val="001F393C"/>
    <w:rsid w:val="001F5328"/>
    <w:rsid w:val="00205364"/>
    <w:rsid w:val="002139EB"/>
    <w:rsid w:val="0021653F"/>
    <w:rsid w:val="00267ACB"/>
    <w:rsid w:val="002936EE"/>
    <w:rsid w:val="00295C1D"/>
    <w:rsid w:val="002B4368"/>
    <w:rsid w:val="002D4EB2"/>
    <w:rsid w:val="002E3FDB"/>
    <w:rsid w:val="002F25C2"/>
    <w:rsid w:val="002F6928"/>
    <w:rsid w:val="0030478A"/>
    <w:rsid w:val="00314549"/>
    <w:rsid w:val="0032260E"/>
    <w:rsid w:val="0033380A"/>
    <w:rsid w:val="003627B2"/>
    <w:rsid w:val="003A0CA1"/>
    <w:rsid w:val="003D6D28"/>
    <w:rsid w:val="003E01FF"/>
    <w:rsid w:val="00434263"/>
    <w:rsid w:val="0043477A"/>
    <w:rsid w:val="004466F0"/>
    <w:rsid w:val="00455E21"/>
    <w:rsid w:val="004945E9"/>
    <w:rsid w:val="004B555D"/>
    <w:rsid w:val="004B7FC9"/>
    <w:rsid w:val="004D0185"/>
    <w:rsid w:val="004D1370"/>
    <w:rsid w:val="004D18B2"/>
    <w:rsid w:val="004D7944"/>
    <w:rsid w:val="00545D4C"/>
    <w:rsid w:val="00546D68"/>
    <w:rsid w:val="005615FC"/>
    <w:rsid w:val="005672C3"/>
    <w:rsid w:val="005827BF"/>
    <w:rsid w:val="00584B8A"/>
    <w:rsid w:val="00585ED8"/>
    <w:rsid w:val="00594157"/>
    <w:rsid w:val="005A2B1D"/>
    <w:rsid w:val="005A69E9"/>
    <w:rsid w:val="005C616A"/>
    <w:rsid w:val="0063166D"/>
    <w:rsid w:val="0063343C"/>
    <w:rsid w:val="0064725A"/>
    <w:rsid w:val="0065695B"/>
    <w:rsid w:val="00664C50"/>
    <w:rsid w:val="006677C3"/>
    <w:rsid w:val="006B0572"/>
    <w:rsid w:val="006D3696"/>
    <w:rsid w:val="006D702B"/>
    <w:rsid w:val="006D707D"/>
    <w:rsid w:val="007054F5"/>
    <w:rsid w:val="007208C2"/>
    <w:rsid w:val="00721131"/>
    <w:rsid w:val="00723E1F"/>
    <w:rsid w:val="00725DDC"/>
    <w:rsid w:val="007402F6"/>
    <w:rsid w:val="00752357"/>
    <w:rsid w:val="00781409"/>
    <w:rsid w:val="007836B0"/>
    <w:rsid w:val="007A44F2"/>
    <w:rsid w:val="007B5DC1"/>
    <w:rsid w:val="00802526"/>
    <w:rsid w:val="008248A2"/>
    <w:rsid w:val="00832EA9"/>
    <w:rsid w:val="00841331"/>
    <w:rsid w:val="008467A0"/>
    <w:rsid w:val="00866F45"/>
    <w:rsid w:val="00867729"/>
    <w:rsid w:val="00895D35"/>
    <w:rsid w:val="008A23C7"/>
    <w:rsid w:val="008C1215"/>
    <w:rsid w:val="008D30B9"/>
    <w:rsid w:val="00920555"/>
    <w:rsid w:val="009414D1"/>
    <w:rsid w:val="009445F6"/>
    <w:rsid w:val="00962B57"/>
    <w:rsid w:val="00964769"/>
    <w:rsid w:val="00990DDF"/>
    <w:rsid w:val="00992B81"/>
    <w:rsid w:val="009B6F74"/>
    <w:rsid w:val="009C0E79"/>
    <w:rsid w:val="009C6D01"/>
    <w:rsid w:val="009E0410"/>
    <w:rsid w:val="009F55BF"/>
    <w:rsid w:val="00A1706A"/>
    <w:rsid w:val="00A37259"/>
    <w:rsid w:val="00A87527"/>
    <w:rsid w:val="00A91F02"/>
    <w:rsid w:val="00AA4FFB"/>
    <w:rsid w:val="00AF4837"/>
    <w:rsid w:val="00B050D5"/>
    <w:rsid w:val="00B169E4"/>
    <w:rsid w:val="00B22787"/>
    <w:rsid w:val="00B31414"/>
    <w:rsid w:val="00B6511C"/>
    <w:rsid w:val="00B9428A"/>
    <w:rsid w:val="00B97499"/>
    <w:rsid w:val="00BE54AD"/>
    <w:rsid w:val="00BF54DA"/>
    <w:rsid w:val="00BF71FF"/>
    <w:rsid w:val="00C20161"/>
    <w:rsid w:val="00C34592"/>
    <w:rsid w:val="00C3704E"/>
    <w:rsid w:val="00C4317D"/>
    <w:rsid w:val="00C46C20"/>
    <w:rsid w:val="00C8119D"/>
    <w:rsid w:val="00C933F1"/>
    <w:rsid w:val="00CA012A"/>
    <w:rsid w:val="00CA2AB3"/>
    <w:rsid w:val="00CB1A54"/>
    <w:rsid w:val="00CE2D73"/>
    <w:rsid w:val="00CE59D8"/>
    <w:rsid w:val="00D10A47"/>
    <w:rsid w:val="00D2665C"/>
    <w:rsid w:val="00D30954"/>
    <w:rsid w:val="00D3761C"/>
    <w:rsid w:val="00D41205"/>
    <w:rsid w:val="00D66E8F"/>
    <w:rsid w:val="00D7239C"/>
    <w:rsid w:val="00D876C0"/>
    <w:rsid w:val="00DC2319"/>
    <w:rsid w:val="00DE2D4E"/>
    <w:rsid w:val="00E4113F"/>
    <w:rsid w:val="00E7514F"/>
    <w:rsid w:val="00EB63B6"/>
    <w:rsid w:val="00ED209B"/>
    <w:rsid w:val="00ED5023"/>
    <w:rsid w:val="00F174D3"/>
    <w:rsid w:val="00F22360"/>
    <w:rsid w:val="00F426A4"/>
    <w:rsid w:val="00F45701"/>
    <w:rsid w:val="00F466FA"/>
    <w:rsid w:val="00F504EE"/>
    <w:rsid w:val="00F5177A"/>
    <w:rsid w:val="00F6105A"/>
    <w:rsid w:val="00F62024"/>
    <w:rsid w:val="00F62B6A"/>
    <w:rsid w:val="00F73C4B"/>
    <w:rsid w:val="00F740EE"/>
    <w:rsid w:val="00FB73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C3"/>
    <w:pPr>
      <w:widowControl w:val="0"/>
      <w:spacing w:line="360" w:lineRule="auto"/>
      <w:ind w:firstLineChars="200" w:firstLine="200"/>
      <w:jc w:val="both"/>
    </w:pPr>
    <w:rPr>
      <w:sz w:val="28"/>
    </w:rPr>
  </w:style>
  <w:style w:type="paragraph" w:styleId="Heading2">
    <w:name w:val="heading 2"/>
    <w:basedOn w:val="Normal"/>
    <w:next w:val="Normal"/>
    <w:link w:val="Heading2Char"/>
    <w:autoRedefine/>
    <w:uiPriority w:val="99"/>
    <w:qFormat/>
    <w:rsid w:val="00F62B6A"/>
    <w:pPr>
      <w:keepNext/>
      <w:keepLines/>
      <w:spacing w:before="260" w:after="260" w:line="415" w:lineRule="auto"/>
      <w:ind w:firstLineChars="0" w:firstLine="0"/>
      <w:jc w:val="center"/>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62B6A"/>
    <w:rPr>
      <w:rFonts w:ascii="Cambria" w:eastAsia="宋体" w:hAnsi="Cambria" w:cs="Times New Roman"/>
      <w:b/>
      <w:bCs/>
      <w:sz w:val="32"/>
      <w:szCs w:val="32"/>
    </w:rPr>
  </w:style>
  <w:style w:type="paragraph" w:styleId="ListParagraph">
    <w:name w:val="List Paragraph"/>
    <w:basedOn w:val="Normal"/>
    <w:uiPriority w:val="99"/>
    <w:qFormat/>
    <w:rsid w:val="00584B8A"/>
    <w:pPr>
      <w:ind w:firstLine="420"/>
    </w:pPr>
  </w:style>
  <w:style w:type="paragraph" w:styleId="Header">
    <w:name w:val="header"/>
    <w:basedOn w:val="Normal"/>
    <w:link w:val="HeaderChar"/>
    <w:uiPriority w:val="99"/>
    <w:semiHidden/>
    <w:rsid w:val="00585ED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585ED8"/>
    <w:rPr>
      <w:rFonts w:cs="Times New Roman"/>
      <w:sz w:val="18"/>
      <w:szCs w:val="18"/>
    </w:rPr>
  </w:style>
  <w:style w:type="paragraph" w:styleId="Footer">
    <w:name w:val="footer"/>
    <w:basedOn w:val="Normal"/>
    <w:link w:val="FooterChar"/>
    <w:uiPriority w:val="99"/>
    <w:semiHidden/>
    <w:rsid w:val="00585ED8"/>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semiHidden/>
    <w:locked/>
    <w:rsid w:val="00585ED8"/>
    <w:rPr>
      <w:rFonts w:cs="Times New Roman"/>
      <w:sz w:val="18"/>
      <w:szCs w:val="18"/>
    </w:rPr>
  </w:style>
  <w:style w:type="paragraph" w:styleId="BalloonText">
    <w:name w:val="Balloon Text"/>
    <w:basedOn w:val="Normal"/>
    <w:link w:val="BalloonTextChar"/>
    <w:uiPriority w:val="99"/>
    <w:semiHidden/>
    <w:rsid w:val="00920555"/>
    <w:rPr>
      <w:sz w:val="18"/>
      <w:szCs w:val="18"/>
    </w:rPr>
  </w:style>
  <w:style w:type="character" w:customStyle="1" w:styleId="BalloonTextChar">
    <w:name w:val="Balloon Text Char"/>
    <w:basedOn w:val="DefaultParagraphFont"/>
    <w:link w:val="BalloonText"/>
    <w:uiPriority w:val="99"/>
    <w:semiHidden/>
    <w:locked/>
    <w:rsid w:val="008467A0"/>
    <w:rPr>
      <w:rFonts w:cs="Times New Roman"/>
      <w:sz w:val="2"/>
    </w:rPr>
  </w:style>
  <w:style w:type="paragraph" w:customStyle="1" w:styleId="CharCharCharCharCharCharChar">
    <w:name w:val="Char Char Char Char Char Char Char"/>
    <w:basedOn w:val="Normal"/>
    <w:uiPriority w:val="99"/>
    <w:rsid w:val="00B22787"/>
    <w:pPr>
      <w:tabs>
        <w:tab w:val="left" w:pos="360"/>
      </w:tabs>
      <w:spacing w:line="240" w:lineRule="auto"/>
      <w:ind w:firstLineChars="0" w:firstLine="0"/>
    </w:pPr>
    <w:rPr>
      <w:rFonts w:ascii="Times New Roman" w:hAnsi="Times New Roman"/>
      <w:sz w:val="21"/>
      <w:szCs w:val="20"/>
    </w:rPr>
  </w:style>
  <w:style w:type="paragraph" w:customStyle="1" w:styleId="Paragrafoelenco1">
    <w:name w:val="Paragrafo elenco1"/>
    <w:basedOn w:val="Normal"/>
    <w:uiPriority w:val="99"/>
    <w:rsid w:val="005A2B1D"/>
    <w:pPr>
      <w:widowControl/>
      <w:spacing w:after="200" w:line="276" w:lineRule="auto"/>
      <w:ind w:left="720" w:firstLineChars="0" w:firstLine="0"/>
      <w:jc w:val="left"/>
    </w:pPr>
    <w:rPr>
      <w:rFonts w:ascii="CG Times" w:hAnsi="CG Times"/>
      <w:kern w:val="0"/>
      <w:sz w:val="24"/>
      <w:lang w:eastAsia="en-US"/>
    </w:rPr>
  </w:style>
</w:styles>
</file>

<file path=word/webSettings.xml><?xml version="1.0" encoding="utf-8"?>
<w:webSettings xmlns:r="http://schemas.openxmlformats.org/officeDocument/2006/relationships" xmlns:w="http://schemas.openxmlformats.org/wordprocessingml/2006/main">
  <w:divs>
    <w:div w:id="598831176">
      <w:marLeft w:val="0"/>
      <w:marRight w:val="0"/>
      <w:marTop w:val="0"/>
      <w:marBottom w:val="0"/>
      <w:divBdr>
        <w:top w:val="none" w:sz="0" w:space="0" w:color="auto"/>
        <w:left w:val="none" w:sz="0" w:space="0" w:color="auto"/>
        <w:bottom w:val="none" w:sz="0" w:space="0" w:color="auto"/>
        <w:right w:val="none" w:sz="0" w:space="0" w:color="auto"/>
      </w:divBdr>
      <w:divsChild>
        <w:div w:id="598831167">
          <w:marLeft w:val="0"/>
          <w:marRight w:val="0"/>
          <w:marTop w:val="0"/>
          <w:marBottom w:val="0"/>
          <w:divBdr>
            <w:top w:val="none" w:sz="0" w:space="0" w:color="auto"/>
            <w:left w:val="none" w:sz="0" w:space="0" w:color="auto"/>
            <w:bottom w:val="none" w:sz="0" w:space="0" w:color="auto"/>
            <w:right w:val="none" w:sz="0" w:space="0" w:color="auto"/>
          </w:divBdr>
          <w:divsChild>
            <w:div w:id="598831174">
              <w:marLeft w:val="0"/>
              <w:marRight w:val="0"/>
              <w:marTop w:val="0"/>
              <w:marBottom w:val="0"/>
              <w:divBdr>
                <w:top w:val="none" w:sz="0" w:space="0" w:color="auto"/>
                <w:left w:val="none" w:sz="0" w:space="0" w:color="auto"/>
                <w:bottom w:val="none" w:sz="0" w:space="0" w:color="auto"/>
                <w:right w:val="none" w:sz="0" w:space="0" w:color="auto"/>
              </w:divBdr>
              <w:divsChild>
                <w:div w:id="598831173">
                  <w:marLeft w:val="0"/>
                  <w:marRight w:val="0"/>
                  <w:marTop w:val="0"/>
                  <w:marBottom w:val="0"/>
                  <w:divBdr>
                    <w:top w:val="single" w:sz="6" w:space="15" w:color="CCCCCC"/>
                    <w:left w:val="single" w:sz="6" w:space="15" w:color="CCCCCC"/>
                    <w:bottom w:val="single" w:sz="6" w:space="15" w:color="CCCCCC"/>
                    <w:right w:val="single" w:sz="6" w:space="15" w:color="CCCCCC"/>
                  </w:divBdr>
                  <w:divsChild>
                    <w:div w:id="598831168">
                      <w:marLeft w:val="0"/>
                      <w:marRight w:val="0"/>
                      <w:marTop w:val="150"/>
                      <w:marBottom w:val="150"/>
                      <w:divBdr>
                        <w:top w:val="none" w:sz="0" w:space="0" w:color="auto"/>
                        <w:left w:val="none" w:sz="0" w:space="0" w:color="auto"/>
                        <w:bottom w:val="none" w:sz="0" w:space="0" w:color="auto"/>
                        <w:right w:val="none" w:sz="0" w:space="0" w:color="auto"/>
                      </w:divBdr>
                      <w:divsChild>
                        <w:div w:id="598831171">
                          <w:marLeft w:val="0"/>
                          <w:marRight w:val="0"/>
                          <w:marTop w:val="0"/>
                          <w:marBottom w:val="0"/>
                          <w:divBdr>
                            <w:top w:val="none" w:sz="0" w:space="0" w:color="auto"/>
                            <w:left w:val="none" w:sz="0" w:space="0" w:color="auto"/>
                            <w:bottom w:val="none" w:sz="0" w:space="0" w:color="auto"/>
                            <w:right w:val="none" w:sz="0" w:space="0" w:color="auto"/>
                          </w:divBdr>
                          <w:divsChild>
                            <w:div w:id="598831169">
                              <w:marLeft w:val="0"/>
                              <w:marRight w:val="0"/>
                              <w:marTop w:val="0"/>
                              <w:marBottom w:val="0"/>
                              <w:divBdr>
                                <w:top w:val="none" w:sz="0" w:space="0" w:color="auto"/>
                                <w:left w:val="none" w:sz="0" w:space="0" w:color="auto"/>
                                <w:bottom w:val="none" w:sz="0" w:space="0" w:color="auto"/>
                                <w:right w:val="none" w:sz="0" w:space="0" w:color="auto"/>
                              </w:divBdr>
                            </w:div>
                            <w:div w:id="598831170">
                              <w:marLeft w:val="0"/>
                              <w:marRight w:val="0"/>
                              <w:marTop w:val="0"/>
                              <w:marBottom w:val="0"/>
                              <w:divBdr>
                                <w:top w:val="none" w:sz="0" w:space="0" w:color="auto"/>
                                <w:left w:val="none" w:sz="0" w:space="0" w:color="auto"/>
                                <w:bottom w:val="none" w:sz="0" w:space="0" w:color="auto"/>
                                <w:right w:val="none" w:sz="0" w:space="0" w:color="auto"/>
                              </w:divBdr>
                            </w:div>
                            <w:div w:id="598831172">
                              <w:marLeft w:val="0"/>
                              <w:marRight w:val="0"/>
                              <w:marTop w:val="0"/>
                              <w:marBottom w:val="0"/>
                              <w:divBdr>
                                <w:top w:val="none" w:sz="0" w:space="0" w:color="auto"/>
                                <w:left w:val="none" w:sz="0" w:space="0" w:color="auto"/>
                                <w:bottom w:val="none" w:sz="0" w:space="0" w:color="auto"/>
                                <w:right w:val="none" w:sz="0" w:space="0" w:color="auto"/>
                              </w:divBdr>
                            </w:div>
                            <w:div w:id="5988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14</Pages>
  <Words>990</Words>
  <Characters>5646</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西藏同信证券有限责任公司</dc:title>
  <dc:subject/>
  <dc:creator>Andrew Shaw</dc:creator>
  <cp:keywords/>
  <dc:description/>
  <cp:lastModifiedBy>Julia Zhang</cp:lastModifiedBy>
  <cp:revision>9</cp:revision>
  <dcterms:created xsi:type="dcterms:W3CDTF">2013-03-21T09:03:00Z</dcterms:created>
  <dcterms:modified xsi:type="dcterms:W3CDTF">2013-04-02T02:43:00Z</dcterms:modified>
</cp:coreProperties>
</file>